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85D" w:rsidRDefault="00D36357">
      <w:pPr>
        <w:pStyle w:val="Style6"/>
        <w:rPr>
          <w:b/>
        </w:rPr>
      </w:pPr>
      <w:bookmarkStart w:id="0" w:name="_GoBack"/>
      <w:bookmarkEnd w:id="0"/>
      <w:r>
        <w:rPr>
          <w:rFonts w:hint="eastAsia"/>
          <w:b/>
        </w:rPr>
        <w:t>窗体顶端</w:t>
      </w:r>
    </w:p>
    <w:p w:rsidR="00D0585D" w:rsidRDefault="00D36357">
      <w:pPr>
        <w:pStyle w:val="a6"/>
        <w:widowControl/>
        <w:spacing w:before="150" w:line="540" w:lineRule="atLeast"/>
        <w:jc w:val="center"/>
        <w:rPr>
          <w:rFonts w:ascii="宋体" w:hAnsi="宋体" w:cs="宋体"/>
          <w:b/>
          <w:color w:val="000000"/>
          <w:sz w:val="32"/>
          <w:szCs w:val="32"/>
        </w:rPr>
      </w:pPr>
      <w:r>
        <w:rPr>
          <w:rFonts w:ascii="宋体" w:hAnsi="宋体" w:cs="宋体" w:hint="eastAsia"/>
          <w:b/>
          <w:color w:val="000000"/>
          <w:sz w:val="32"/>
          <w:szCs w:val="32"/>
        </w:rPr>
        <w:t>宁夏大学数学统计学院</w:t>
      </w:r>
    </w:p>
    <w:p w:rsidR="00D0585D" w:rsidRDefault="00D36357">
      <w:pPr>
        <w:pStyle w:val="a6"/>
        <w:widowControl/>
        <w:spacing w:before="150" w:line="540" w:lineRule="atLeast"/>
        <w:jc w:val="center"/>
        <w:rPr>
          <w:rFonts w:ascii="宋体" w:hAnsi="宋体" w:cs="宋体"/>
          <w:b/>
          <w:sz w:val="32"/>
          <w:szCs w:val="32"/>
        </w:rPr>
      </w:pPr>
      <w:r>
        <w:rPr>
          <w:rFonts w:ascii="宋体" w:hAnsi="宋体" w:cs="宋体" w:hint="eastAsia"/>
          <w:b/>
          <w:color w:val="000000"/>
          <w:sz w:val="32"/>
          <w:szCs w:val="32"/>
        </w:rPr>
        <w:t>2019</w:t>
      </w:r>
      <w:r>
        <w:rPr>
          <w:rFonts w:ascii="宋体" w:hAnsi="宋体" w:cs="宋体" w:hint="eastAsia"/>
          <w:b/>
          <w:color w:val="000000"/>
          <w:sz w:val="32"/>
          <w:szCs w:val="32"/>
        </w:rPr>
        <w:t>年硕士研究生招生复试工作办法</w:t>
      </w:r>
    </w:p>
    <w:p w:rsidR="00D0585D" w:rsidRDefault="00D36357">
      <w:pPr>
        <w:pStyle w:val="a6"/>
        <w:widowControl/>
        <w:spacing w:line="560" w:lineRule="exact"/>
        <w:ind w:firstLineChars="200" w:firstLine="560"/>
        <w:rPr>
          <w:rFonts w:ascii="仿宋" w:eastAsia="仿宋" w:hAnsi="仿宋" w:cs="仿宋"/>
          <w:sz w:val="28"/>
          <w:szCs w:val="28"/>
        </w:rPr>
      </w:pPr>
      <w:r>
        <w:rPr>
          <w:rFonts w:ascii="仿宋" w:eastAsia="仿宋" w:hAnsi="仿宋" w:cs="仿宋" w:hint="eastAsia"/>
          <w:color w:val="000000"/>
          <w:sz w:val="28"/>
          <w:szCs w:val="28"/>
        </w:rPr>
        <w:t>根据</w:t>
      </w:r>
      <w:r>
        <w:rPr>
          <w:rFonts w:ascii="仿宋" w:eastAsia="仿宋" w:hAnsi="仿宋" w:cs="仿宋"/>
          <w:color w:val="000000"/>
          <w:sz w:val="28"/>
          <w:szCs w:val="28"/>
        </w:rPr>
        <w:t>《教育部办公厅关于进一步规范和加强研究生考试招生工作的通知》（教学厅</w:t>
      </w:r>
      <w:r>
        <w:rPr>
          <w:rFonts w:ascii="仿宋" w:eastAsia="仿宋" w:hAnsi="仿宋" w:cs="仿宋"/>
          <w:color w:val="000000"/>
          <w:sz w:val="28"/>
          <w:szCs w:val="28"/>
        </w:rPr>
        <w:t>[2019]2</w:t>
      </w:r>
      <w:r>
        <w:rPr>
          <w:rFonts w:ascii="仿宋" w:eastAsia="仿宋" w:hAnsi="仿宋" w:cs="仿宋"/>
          <w:color w:val="000000"/>
          <w:sz w:val="28"/>
          <w:szCs w:val="28"/>
        </w:rPr>
        <w:t>号）《教育部关于印发</w:t>
      </w:r>
      <w:r>
        <w:rPr>
          <w:rFonts w:ascii="仿宋" w:eastAsia="仿宋" w:hAnsi="仿宋" w:cs="仿宋"/>
          <w:color w:val="000000"/>
          <w:sz w:val="28"/>
          <w:szCs w:val="28"/>
        </w:rPr>
        <w:t>&lt;2019</w:t>
      </w:r>
      <w:r>
        <w:rPr>
          <w:rFonts w:ascii="仿宋" w:eastAsia="仿宋" w:hAnsi="仿宋" w:cs="仿宋"/>
          <w:color w:val="000000"/>
          <w:sz w:val="28"/>
          <w:szCs w:val="28"/>
        </w:rPr>
        <w:t>年全国硕士研究生招生工作管理规定</w:t>
      </w:r>
      <w:r>
        <w:rPr>
          <w:rFonts w:ascii="仿宋" w:eastAsia="仿宋" w:hAnsi="仿宋" w:cs="仿宋"/>
          <w:color w:val="000000"/>
          <w:sz w:val="28"/>
          <w:szCs w:val="28"/>
        </w:rPr>
        <w:t>&gt;</w:t>
      </w:r>
      <w:r>
        <w:rPr>
          <w:rFonts w:ascii="仿宋" w:eastAsia="仿宋" w:hAnsi="仿宋" w:cs="仿宋"/>
          <w:color w:val="000000"/>
          <w:sz w:val="28"/>
          <w:szCs w:val="28"/>
        </w:rPr>
        <w:t>的通知》（教学</w:t>
      </w:r>
      <w:r>
        <w:rPr>
          <w:rFonts w:ascii="仿宋" w:eastAsia="仿宋" w:hAnsi="仿宋" w:cs="仿宋"/>
          <w:color w:val="000000"/>
          <w:sz w:val="28"/>
          <w:szCs w:val="28"/>
        </w:rPr>
        <w:t>[2018]5</w:t>
      </w:r>
      <w:r>
        <w:rPr>
          <w:rFonts w:ascii="仿宋" w:eastAsia="仿宋" w:hAnsi="仿宋" w:cs="仿宋"/>
          <w:color w:val="000000"/>
          <w:sz w:val="28"/>
          <w:szCs w:val="28"/>
        </w:rPr>
        <w:t>号）《教育部关于加强硕士研究生招生复试工作的指导意见》（教学</w:t>
      </w:r>
      <w:r>
        <w:rPr>
          <w:rFonts w:ascii="仿宋" w:eastAsia="仿宋" w:hAnsi="仿宋" w:cs="仿宋"/>
          <w:color w:val="000000"/>
          <w:sz w:val="28"/>
          <w:szCs w:val="28"/>
        </w:rPr>
        <w:t>[2006]4</w:t>
      </w:r>
      <w:r>
        <w:rPr>
          <w:rFonts w:ascii="仿宋" w:eastAsia="仿宋" w:hAnsi="仿宋" w:cs="仿宋"/>
          <w:color w:val="000000"/>
          <w:sz w:val="28"/>
          <w:szCs w:val="28"/>
        </w:rPr>
        <w:t>号）</w:t>
      </w:r>
      <w:r>
        <w:rPr>
          <w:rFonts w:ascii="仿宋" w:eastAsia="仿宋" w:hAnsi="仿宋" w:cs="仿宋" w:hint="eastAsia"/>
          <w:color w:val="000000"/>
          <w:sz w:val="28"/>
          <w:szCs w:val="28"/>
        </w:rPr>
        <w:t>和宁夏大学</w:t>
      </w:r>
      <w:r>
        <w:rPr>
          <w:rFonts w:ascii="仿宋" w:eastAsia="仿宋" w:hAnsi="仿宋" w:cs="仿宋" w:hint="eastAsia"/>
          <w:color w:val="000000"/>
          <w:sz w:val="28"/>
          <w:szCs w:val="28"/>
        </w:rPr>
        <w:t>2019</w:t>
      </w:r>
      <w:r>
        <w:rPr>
          <w:rFonts w:ascii="仿宋" w:eastAsia="仿宋" w:hAnsi="仿宋" w:cs="仿宋" w:hint="eastAsia"/>
          <w:color w:val="000000"/>
          <w:sz w:val="28"/>
          <w:szCs w:val="28"/>
        </w:rPr>
        <w:t>年硕士研究生招生复试工作办法，结合数学统计学院的实际情况，特制定本复试工作办法。</w:t>
      </w:r>
    </w:p>
    <w:p w:rsidR="00D0585D" w:rsidRDefault="00D36357">
      <w:pPr>
        <w:pStyle w:val="a6"/>
        <w:widowControl/>
        <w:spacing w:line="560" w:lineRule="exact"/>
        <w:ind w:firstLineChars="200" w:firstLine="562"/>
        <w:rPr>
          <w:sz w:val="28"/>
          <w:szCs w:val="28"/>
        </w:rPr>
      </w:pPr>
      <w:r>
        <w:rPr>
          <w:rFonts w:ascii="Verdana" w:hAnsi="Verdana" w:cs="Verdana" w:hint="eastAsia"/>
          <w:b/>
          <w:color w:val="000000"/>
          <w:sz w:val="28"/>
          <w:szCs w:val="28"/>
        </w:rPr>
        <w:t>一、复试工作原则</w:t>
      </w:r>
    </w:p>
    <w:p w:rsidR="00D0585D" w:rsidRDefault="00D36357">
      <w:pPr>
        <w:pStyle w:val="a6"/>
        <w:widowControl/>
        <w:spacing w:line="560" w:lineRule="exact"/>
        <w:ind w:firstLineChars="200" w:firstLine="560"/>
        <w:rPr>
          <w:rFonts w:ascii="仿宋" w:eastAsia="仿宋" w:hAnsi="仿宋" w:cs="仿宋"/>
          <w:sz w:val="28"/>
          <w:szCs w:val="28"/>
        </w:rPr>
      </w:pPr>
      <w:r>
        <w:rPr>
          <w:rFonts w:ascii="仿宋" w:eastAsia="仿宋" w:hAnsi="仿宋" w:cs="仿宋" w:hint="eastAsia"/>
          <w:color w:val="000000"/>
          <w:sz w:val="28"/>
          <w:szCs w:val="28"/>
        </w:rPr>
        <w:t>（一）</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坚持科学选拔的原则。</w:t>
      </w:r>
    </w:p>
    <w:p w:rsidR="00D0585D" w:rsidRDefault="00D36357">
      <w:pPr>
        <w:pStyle w:val="a6"/>
        <w:widowControl/>
        <w:spacing w:line="560" w:lineRule="exact"/>
        <w:ind w:firstLineChars="200" w:firstLine="560"/>
        <w:rPr>
          <w:rFonts w:ascii="仿宋" w:eastAsia="仿宋" w:hAnsi="仿宋" w:cs="仿宋"/>
          <w:sz w:val="28"/>
          <w:szCs w:val="28"/>
        </w:rPr>
      </w:pPr>
      <w:r>
        <w:rPr>
          <w:rFonts w:ascii="仿宋" w:eastAsia="仿宋" w:hAnsi="仿宋" w:cs="仿宋" w:hint="eastAsia"/>
          <w:color w:val="000000"/>
          <w:sz w:val="28"/>
          <w:szCs w:val="28"/>
        </w:rPr>
        <w:t>（二）坚持公平、公正、公开的原则。</w:t>
      </w:r>
    </w:p>
    <w:p w:rsidR="00D0585D" w:rsidRDefault="00D36357">
      <w:pPr>
        <w:pStyle w:val="a6"/>
        <w:widowControl/>
        <w:spacing w:line="560" w:lineRule="exact"/>
        <w:ind w:firstLineChars="200" w:firstLine="560"/>
        <w:rPr>
          <w:rFonts w:ascii="仿宋" w:eastAsia="仿宋" w:hAnsi="仿宋" w:cs="仿宋"/>
          <w:sz w:val="28"/>
          <w:szCs w:val="28"/>
        </w:rPr>
      </w:pPr>
      <w:r>
        <w:rPr>
          <w:rFonts w:ascii="仿宋" w:eastAsia="仿宋" w:hAnsi="仿宋" w:cs="仿宋" w:hint="eastAsia"/>
          <w:color w:val="000000"/>
          <w:sz w:val="28"/>
          <w:szCs w:val="28"/>
        </w:rPr>
        <w:t>（三）坚持全面考察，</w:t>
      </w:r>
      <w:r>
        <w:rPr>
          <w:rFonts w:ascii="仿宋" w:eastAsia="仿宋" w:hAnsi="仿宋" w:cs="仿宋"/>
          <w:color w:val="000000"/>
          <w:sz w:val="28"/>
          <w:szCs w:val="28"/>
        </w:rPr>
        <w:t>择优录取、宁缺勿滥</w:t>
      </w:r>
      <w:r>
        <w:rPr>
          <w:rFonts w:ascii="仿宋" w:eastAsia="仿宋" w:hAnsi="仿宋" w:cs="仿宋" w:hint="eastAsia"/>
          <w:color w:val="000000"/>
          <w:sz w:val="28"/>
          <w:szCs w:val="28"/>
        </w:rPr>
        <w:t>的原则。</w:t>
      </w:r>
    </w:p>
    <w:p w:rsidR="00D0585D" w:rsidRDefault="00D36357">
      <w:pPr>
        <w:pStyle w:val="a6"/>
        <w:widowControl/>
        <w:spacing w:line="560" w:lineRule="exact"/>
        <w:ind w:firstLineChars="200" w:firstLine="560"/>
        <w:rPr>
          <w:rFonts w:ascii="仿宋" w:eastAsia="仿宋" w:hAnsi="仿宋" w:cs="仿宋"/>
          <w:sz w:val="28"/>
          <w:szCs w:val="28"/>
        </w:rPr>
      </w:pPr>
      <w:r>
        <w:rPr>
          <w:rFonts w:ascii="仿宋" w:eastAsia="仿宋" w:hAnsi="仿宋" w:cs="仿宋" w:hint="eastAsia"/>
          <w:color w:val="000000"/>
          <w:sz w:val="28"/>
          <w:szCs w:val="28"/>
        </w:rPr>
        <w:t>（四）坚持客观评价的原则。</w:t>
      </w:r>
    </w:p>
    <w:p w:rsidR="00D0585D" w:rsidRDefault="00D36357">
      <w:pPr>
        <w:pStyle w:val="a6"/>
        <w:widowControl/>
        <w:spacing w:line="560" w:lineRule="exact"/>
        <w:ind w:firstLineChars="200" w:firstLine="562"/>
        <w:rPr>
          <w:sz w:val="28"/>
          <w:szCs w:val="28"/>
        </w:rPr>
      </w:pPr>
      <w:r>
        <w:rPr>
          <w:rFonts w:ascii="Verdana" w:hAnsi="Verdana" w:cs="Verdana" w:hint="eastAsia"/>
          <w:b/>
          <w:color w:val="000000"/>
          <w:sz w:val="28"/>
          <w:szCs w:val="28"/>
        </w:rPr>
        <w:t>二、复试组织</w:t>
      </w:r>
    </w:p>
    <w:p w:rsidR="00D0585D" w:rsidRDefault="00D36357">
      <w:pPr>
        <w:pStyle w:val="a6"/>
        <w:widowControl/>
        <w:spacing w:line="560" w:lineRule="exact"/>
        <w:ind w:firstLineChars="200" w:firstLine="560"/>
        <w:rPr>
          <w:rFonts w:ascii="仿宋" w:eastAsia="仿宋" w:hAnsi="仿宋" w:cs="仿宋"/>
          <w:sz w:val="28"/>
          <w:szCs w:val="28"/>
        </w:rPr>
      </w:pPr>
      <w:r>
        <w:rPr>
          <w:rFonts w:ascii="仿宋" w:eastAsia="仿宋" w:hAnsi="仿宋" w:cs="仿宋" w:hint="eastAsia"/>
          <w:color w:val="000000"/>
          <w:sz w:val="28"/>
          <w:szCs w:val="28"/>
        </w:rPr>
        <w:t>（一）学校招生工作领导小组，负责对复试工作的领导和统筹管理。</w:t>
      </w:r>
    </w:p>
    <w:p w:rsidR="00D0585D" w:rsidRDefault="00D36357">
      <w:pPr>
        <w:pStyle w:val="a6"/>
        <w:widowControl/>
        <w:spacing w:line="560" w:lineRule="exact"/>
        <w:rPr>
          <w:rFonts w:ascii="仿宋" w:eastAsia="仿宋" w:hAnsi="仿宋" w:cs="仿宋"/>
          <w:sz w:val="28"/>
          <w:szCs w:val="28"/>
        </w:rPr>
      </w:pP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（二）学院成立招生复试工作领导小组，由院长担任组长，</w:t>
      </w:r>
      <w:r>
        <w:rPr>
          <w:rFonts w:ascii="仿宋" w:eastAsia="仿宋" w:hAnsi="仿宋" w:cs="仿宋"/>
          <w:color w:val="000000"/>
          <w:sz w:val="28"/>
          <w:szCs w:val="28"/>
        </w:rPr>
        <w:t>实行组长负责制，</w:t>
      </w:r>
      <w:r>
        <w:rPr>
          <w:rFonts w:ascii="仿宋" w:eastAsia="仿宋" w:hAnsi="仿宋" w:cs="仿宋" w:hint="eastAsia"/>
          <w:color w:val="000000"/>
          <w:sz w:val="28"/>
          <w:szCs w:val="28"/>
        </w:rPr>
        <w:t>制定本单位复试工作具体方案并组织实施。</w:t>
      </w:r>
    </w:p>
    <w:p w:rsidR="00D0585D" w:rsidRDefault="00D36357">
      <w:pPr>
        <w:pStyle w:val="a6"/>
        <w:widowControl/>
        <w:spacing w:line="560" w:lineRule="exact"/>
        <w:ind w:firstLineChars="200" w:firstLine="560"/>
        <w:rPr>
          <w:rFonts w:ascii="仿宋" w:eastAsia="仿宋" w:hAnsi="仿宋" w:cs="仿宋"/>
          <w:color w:val="000000" w:themeColor="text1"/>
          <w:sz w:val="28"/>
          <w:szCs w:val="28"/>
        </w:rPr>
      </w:pPr>
      <w:r>
        <w:rPr>
          <w:rFonts w:ascii="仿宋" w:eastAsia="仿宋" w:hAnsi="仿宋" w:cs="仿宋" w:hint="eastAsia"/>
          <w:sz w:val="28"/>
          <w:szCs w:val="28"/>
        </w:rPr>
        <w:t>（三）按专业和复试人数组成若干复试小组，对参加复试的小组成员进行专门培训。每个复试</w:t>
      </w:r>
      <w:r>
        <w:rPr>
          <w:rFonts w:ascii="仿宋" w:eastAsia="仿宋" w:hAnsi="仿宋" w:cs="仿宋" w:hint="eastAsia"/>
          <w:color w:val="000000"/>
          <w:sz w:val="28"/>
          <w:szCs w:val="28"/>
        </w:rPr>
        <w:t>小组成员不少于</w:t>
      </w:r>
      <w:r>
        <w:rPr>
          <w:rFonts w:ascii="仿宋" w:eastAsia="仿宋" w:hAnsi="仿宋" w:cs="仿宋" w:hint="eastAsia"/>
          <w:color w:val="000000"/>
          <w:sz w:val="28"/>
          <w:szCs w:val="28"/>
        </w:rPr>
        <w:t>5</w:t>
      </w:r>
      <w:r>
        <w:rPr>
          <w:rFonts w:ascii="仿宋" w:eastAsia="仿宋" w:hAnsi="仿宋" w:cs="仿宋" w:hint="eastAsia"/>
          <w:color w:val="000000"/>
          <w:sz w:val="28"/>
          <w:szCs w:val="28"/>
        </w:rPr>
        <w:t>人。</w:t>
      </w:r>
      <w:r>
        <w:rPr>
          <w:rFonts w:ascii="仿宋" w:eastAsia="仿宋" w:hAnsi="仿宋" w:cs="仿宋" w:hint="eastAsia"/>
          <w:color w:val="000000" w:themeColor="text1"/>
          <w:sz w:val="28"/>
          <w:szCs w:val="28"/>
        </w:rPr>
        <w:t>复试小组成员包括专业的学科带头人、学术骨干、硕士生导师，指定</w:t>
      </w:r>
      <w:r>
        <w:rPr>
          <w:rFonts w:ascii="仿宋" w:eastAsia="仿宋" w:hAnsi="仿宋" w:cs="仿宋" w:hint="eastAsia"/>
          <w:color w:val="000000" w:themeColor="text1"/>
          <w:sz w:val="28"/>
          <w:szCs w:val="28"/>
        </w:rPr>
        <w:t>1</w:t>
      </w:r>
      <w:r>
        <w:rPr>
          <w:rFonts w:ascii="仿宋" w:eastAsia="仿宋" w:hAnsi="仿宋" w:cs="仿宋" w:hint="eastAsia"/>
          <w:color w:val="000000" w:themeColor="text1"/>
          <w:sz w:val="28"/>
          <w:szCs w:val="28"/>
        </w:rPr>
        <w:t>人为组长。复试小组成员必须现场独立评分。有直系亲属参加复试的教师执行回避制度。</w:t>
      </w:r>
    </w:p>
    <w:p w:rsidR="00D0585D" w:rsidRDefault="00D36357">
      <w:pPr>
        <w:pStyle w:val="a6"/>
        <w:widowControl/>
        <w:spacing w:line="560" w:lineRule="exact"/>
        <w:ind w:firstLine="560"/>
        <w:rPr>
          <w:rFonts w:ascii="仿宋" w:eastAsia="仿宋" w:hAnsi="仿宋" w:cs="仿宋"/>
          <w:color w:val="000000"/>
          <w:sz w:val="28"/>
          <w:szCs w:val="28"/>
        </w:rPr>
      </w:pPr>
      <w:r>
        <w:rPr>
          <w:rFonts w:ascii="仿宋" w:eastAsia="仿宋" w:hAnsi="仿宋" w:cs="仿宋" w:hint="eastAsia"/>
          <w:color w:val="000000"/>
          <w:sz w:val="28"/>
          <w:szCs w:val="28"/>
        </w:rPr>
        <w:lastRenderedPageBreak/>
        <w:t>（四）同一学科（专业）各复试小组的面试方式、时间、试题难度和成绩评定标准原则上应统一。</w:t>
      </w:r>
    </w:p>
    <w:p w:rsidR="00D0585D" w:rsidRDefault="00D36357">
      <w:pPr>
        <w:pStyle w:val="a6"/>
        <w:widowControl/>
        <w:spacing w:line="560" w:lineRule="exact"/>
        <w:ind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五）学院选派经验丰富、业务水平高、公道正派的人员参与复试工作；并对所有人员进行政策、业务、纪律等方面的培训，使其明确工作纪律和工作程序、评判规则和评判标准；明确招生导师在复试工作中的权利、责任和纪律，规范其工作行为。</w:t>
      </w:r>
    </w:p>
    <w:p w:rsidR="00D0585D" w:rsidRDefault="00D36357">
      <w:pPr>
        <w:pStyle w:val="a6"/>
        <w:widowControl/>
        <w:spacing w:line="560" w:lineRule="exact"/>
        <w:ind w:firstLineChars="200" w:firstLine="560"/>
        <w:rPr>
          <w:sz w:val="28"/>
          <w:szCs w:val="28"/>
        </w:rPr>
      </w:pPr>
      <w:r>
        <w:rPr>
          <w:rFonts w:ascii="仿宋" w:eastAsia="仿宋" w:hAnsi="仿宋" w:cs="仿宋" w:hint="eastAsia"/>
          <w:color w:val="000000"/>
          <w:sz w:val="28"/>
          <w:szCs w:val="28"/>
        </w:rPr>
        <w:t>（六）各专业复试面试必须现场录音、录像。</w:t>
      </w:r>
    </w:p>
    <w:p w:rsidR="00D0585D" w:rsidRDefault="00D36357">
      <w:pPr>
        <w:pStyle w:val="a6"/>
        <w:widowControl/>
        <w:spacing w:line="560" w:lineRule="exact"/>
        <w:ind w:firstLineChars="200" w:firstLine="562"/>
        <w:rPr>
          <w:sz w:val="28"/>
          <w:szCs w:val="28"/>
        </w:rPr>
      </w:pPr>
      <w:r>
        <w:rPr>
          <w:rFonts w:ascii="Verdana" w:hAnsi="Verdana" w:cs="Verdana" w:hint="eastAsia"/>
          <w:b/>
          <w:color w:val="000000"/>
          <w:sz w:val="28"/>
          <w:szCs w:val="28"/>
        </w:rPr>
        <w:t>三、复试人选</w:t>
      </w:r>
    </w:p>
    <w:p w:rsidR="00D0585D" w:rsidRDefault="00D36357">
      <w:pPr>
        <w:pStyle w:val="a6"/>
        <w:widowControl/>
        <w:ind w:firstLineChars="200" w:firstLine="560"/>
        <w:rPr>
          <w:rFonts w:ascii="仿宋" w:eastAsia="仿宋" w:hAnsi="仿宋" w:cs="仿宋"/>
          <w:sz w:val="28"/>
          <w:szCs w:val="28"/>
        </w:rPr>
      </w:pPr>
      <w:r>
        <w:rPr>
          <w:rFonts w:ascii="仿宋" w:eastAsia="仿宋" w:hAnsi="仿宋" w:cs="仿宋" w:hint="eastAsia"/>
          <w:color w:val="000000"/>
          <w:sz w:val="28"/>
          <w:szCs w:val="28"/>
        </w:rPr>
        <w:t>参加复试考生为第一志愿报考我校并按照我校公布的复试基本要求的上线人员及调剂考生。复试人数一般不低于拟录取人数的</w:t>
      </w:r>
      <w:r>
        <w:rPr>
          <w:rFonts w:ascii="仿宋" w:eastAsia="仿宋" w:hAnsi="仿宋" w:cs="仿宋" w:hint="eastAsia"/>
          <w:color w:val="000000"/>
          <w:sz w:val="28"/>
          <w:szCs w:val="28"/>
        </w:rPr>
        <w:t>120</w:t>
      </w:r>
      <w:r>
        <w:rPr>
          <w:rFonts w:ascii="仿宋" w:eastAsia="仿宋" w:hAnsi="仿宋" w:cs="仿宋" w:hint="eastAsia"/>
          <w:color w:val="000000"/>
          <w:sz w:val="28"/>
          <w:szCs w:val="28"/>
        </w:rPr>
        <w:t>％。</w:t>
      </w:r>
    </w:p>
    <w:p w:rsidR="00D0585D" w:rsidRDefault="00D36357">
      <w:pPr>
        <w:pStyle w:val="a6"/>
        <w:widowControl/>
        <w:spacing w:line="560" w:lineRule="exact"/>
        <w:ind w:firstLineChars="200" w:firstLine="562"/>
        <w:rPr>
          <w:sz w:val="28"/>
          <w:szCs w:val="28"/>
        </w:rPr>
      </w:pPr>
      <w:r>
        <w:rPr>
          <w:rFonts w:ascii="Verdana" w:hAnsi="Verdana" w:cs="Verdana" w:hint="eastAsia"/>
          <w:b/>
          <w:color w:val="000000"/>
          <w:sz w:val="28"/>
          <w:szCs w:val="28"/>
        </w:rPr>
        <w:t>四、复试工作内容及成绩计算</w:t>
      </w:r>
    </w:p>
    <w:p w:rsidR="00D0585D" w:rsidRDefault="00D36357">
      <w:pPr>
        <w:pStyle w:val="a6"/>
        <w:widowControl/>
        <w:spacing w:line="560" w:lineRule="exact"/>
        <w:ind w:firstLineChars="200" w:firstLine="560"/>
        <w:rPr>
          <w:rFonts w:ascii="仿宋" w:eastAsia="仿宋" w:hAnsi="仿宋" w:cs="仿宋"/>
          <w:sz w:val="28"/>
          <w:szCs w:val="28"/>
        </w:rPr>
      </w:pPr>
      <w:r>
        <w:rPr>
          <w:rFonts w:ascii="仿宋" w:eastAsia="仿宋" w:hAnsi="仿宋" w:cs="仿宋" w:hint="eastAsia"/>
          <w:color w:val="000000"/>
          <w:sz w:val="28"/>
          <w:szCs w:val="28"/>
        </w:rPr>
        <w:t>复试内容包括专业课笔试，专业课面试，英语听力与口语水平测试。</w:t>
      </w:r>
    </w:p>
    <w:p w:rsidR="00D0585D" w:rsidRDefault="00D36357">
      <w:pPr>
        <w:pStyle w:val="a6"/>
        <w:widowControl/>
        <w:spacing w:line="56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（一）专业课笔试。所有专业均必须进行专业课笔试，</w:t>
      </w:r>
      <w:r>
        <w:rPr>
          <w:rFonts w:ascii="仿宋" w:eastAsia="仿宋" w:hAnsi="仿宋" w:cs="仿宋"/>
          <w:color w:val="000000"/>
          <w:sz w:val="28"/>
          <w:szCs w:val="28"/>
        </w:rPr>
        <w:t>满分为</w:t>
      </w:r>
      <w:r>
        <w:rPr>
          <w:rFonts w:ascii="仿宋" w:eastAsia="仿宋" w:hAnsi="仿宋" w:cs="仿宋"/>
          <w:color w:val="000000"/>
          <w:sz w:val="28"/>
          <w:szCs w:val="28"/>
        </w:rPr>
        <w:t>100</w:t>
      </w:r>
      <w:r>
        <w:rPr>
          <w:rFonts w:ascii="仿宋" w:eastAsia="仿宋" w:hAnsi="仿宋" w:cs="仿宋"/>
          <w:color w:val="000000"/>
          <w:sz w:val="28"/>
          <w:szCs w:val="28"/>
        </w:rPr>
        <w:t>分</w:t>
      </w:r>
      <w:r>
        <w:rPr>
          <w:rFonts w:ascii="仿宋" w:eastAsia="仿宋" w:hAnsi="仿宋" w:cs="仿宋" w:hint="eastAsia"/>
          <w:color w:val="000000"/>
          <w:sz w:val="28"/>
          <w:szCs w:val="28"/>
        </w:rPr>
        <w:t>，</w:t>
      </w:r>
      <w:r>
        <w:rPr>
          <w:rFonts w:ascii="仿宋" w:eastAsia="仿宋" w:hAnsi="仿宋" w:cs="仿宋"/>
          <w:color w:val="000000"/>
          <w:sz w:val="28"/>
          <w:szCs w:val="28"/>
        </w:rPr>
        <w:t>时间</w:t>
      </w:r>
      <w:r>
        <w:rPr>
          <w:rFonts w:ascii="仿宋" w:eastAsia="仿宋" w:hAnsi="仿宋" w:cs="仿宋"/>
          <w:color w:val="000000"/>
          <w:sz w:val="28"/>
          <w:szCs w:val="28"/>
        </w:rPr>
        <w:t>2</w:t>
      </w:r>
      <w:r>
        <w:rPr>
          <w:rFonts w:ascii="仿宋" w:eastAsia="仿宋" w:hAnsi="仿宋" w:cs="仿宋"/>
          <w:color w:val="000000"/>
          <w:sz w:val="28"/>
          <w:szCs w:val="28"/>
        </w:rPr>
        <w:t>小时</w:t>
      </w:r>
      <w:r>
        <w:rPr>
          <w:rFonts w:ascii="仿宋" w:eastAsia="仿宋" w:hAnsi="仿宋" w:cs="仿宋" w:hint="eastAsia"/>
          <w:color w:val="000000"/>
          <w:sz w:val="28"/>
          <w:szCs w:val="28"/>
        </w:rPr>
        <w:t>。试卷严格按宁夏大学初试命题工作管理规定进行命制，复试试题及答案在启封前属国家机密材料。</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数学专业的笔试课程为：《常微分方程》《概率统计》、《复变函数》、《数值分析》，</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四门课程任选两门做答；学科教学（数学）（全日制、非全日制）专业的笔试课程为：《数学教学论》。</w:t>
      </w:r>
    </w:p>
    <w:p w:rsidR="00D0585D" w:rsidRDefault="00D36357">
      <w:pPr>
        <w:pStyle w:val="a6"/>
        <w:widowControl/>
        <w:spacing w:line="560" w:lineRule="exact"/>
        <w:ind w:firstLineChars="200" w:firstLine="560"/>
        <w:rPr>
          <w:rFonts w:ascii="仿宋" w:eastAsia="仿宋" w:hAnsi="仿宋" w:cs="仿宋"/>
          <w:sz w:val="28"/>
          <w:szCs w:val="28"/>
        </w:rPr>
      </w:pPr>
      <w:r>
        <w:rPr>
          <w:rFonts w:ascii="仿宋" w:eastAsia="仿宋" w:hAnsi="仿宋" w:cs="仿宋" w:hint="eastAsia"/>
          <w:color w:val="000000"/>
          <w:sz w:val="28"/>
          <w:szCs w:val="28"/>
        </w:rPr>
        <w:t>（二）专业课面试。</w:t>
      </w:r>
      <w:r>
        <w:rPr>
          <w:rFonts w:ascii="仿宋" w:eastAsia="仿宋" w:hAnsi="仿宋" w:cs="仿宋" w:hint="eastAsia"/>
          <w:color w:val="000000" w:themeColor="text1"/>
          <w:sz w:val="28"/>
          <w:szCs w:val="28"/>
        </w:rPr>
        <w:t>面试</w:t>
      </w:r>
      <w:r>
        <w:rPr>
          <w:rFonts w:ascii="仿宋" w:eastAsia="仿宋" w:hAnsi="仿宋" w:cs="仿宋" w:hint="eastAsia"/>
          <w:color w:val="000000"/>
          <w:sz w:val="28"/>
          <w:szCs w:val="28"/>
        </w:rPr>
        <w:t>采用试题事先命制、装袋，考生现场抽题回答的形式进行。</w:t>
      </w:r>
    </w:p>
    <w:p w:rsidR="00D0585D" w:rsidRDefault="00D36357">
      <w:pPr>
        <w:pStyle w:val="a6"/>
        <w:widowControl/>
        <w:spacing w:line="560" w:lineRule="exact"/>
        <w:ind w:firstLineChars="200" w:firstLine="560"/>
        <w:rPr>
          <w:rFonts w:ascii="仿宋" w:eastAsia="仿宋" w:hAnsi="仿宋" w:cs="仿宋"/>
          <w:sz w:val="28"/>
          <w:szCs w:val="28"/>
        </w:rPr>
      </w:pPr>
      <w:r>
        <w:rPr>
          <w:rFonts w:ascii="仿宋" w:eastAsia="仿宋" w:hAnsi="仿宋" w:cs="仿宋" w:hint="eastAsia"/>
          <w:color w:val="000000"/>
          <w:sz w:val="28"/>
          <w:szCs w:val="28"/>
        </w:rPr>
        <w:t>（三）英语听力与口语水平测试。学院负责组织考生的听力与口语能力水平测试，邀请英语专业教师任考官，测试内容包括日常会话、</w:t>
      </w:r>
      <w:r>
        <w:rPr>
          <w:rFonts w:ascii="仿宋" w:eastAsia="仿宋" w:hAnsi="仿宋" w:cs="仿宋" w:hint="eastAsia"/>
          <w:color w:val="000000"/>
          <w:sz w:val="28"/>
          <w:szCs w:val="28"/>
        </w:rPr>
        <w:lastRenderedPageBreak/>
        <w:t>语音语调、口头作文。对于听力、口语成绩偏低的考生，将根据情况，慎重录取。</w:t>
      </w:r>
    </w:p>
    <w:p w:rsidR="00D0585D" w:rsidRDefault="00D36357">
      <w:pPr>
        <w:pStyle w:val="a6"/>
        <w:widowControl/>
        <w:spacing w:line="560" w:lineRule="exact"/>
        <w:ind w:firstLineChars="200" w:firstLine="560"/>
        <w:rPr>
          <w:rFonts w:ascii="仿宋" w:eastAsia="仿宋" w:hAnsi="仿宋" w:cs="仿宋"/>
          <w:sz w:val="28"/>
          <w:szCs w:val="28"/>
        </w:rPr>
      </w:pPr>
      <w:r>
        <w:rPr>
          <w:rFonts w:ascii="仿宋" w:eastAsia="仿宋" w:hAnsi="仿宋" w:cs="仿宋" w:hint="eastAsia"/>
          <w:color w:val="000000"/>
          <w:sz w:val="28"/>
          <w:szCs w:val="28"/>
        </w:rPr>
        <w:t>（四）复试总分为</w:t>
      </w:r>
      <w:r>
        <w:rPr>
          <w:rFonts w:ascii="仿宋" w:eastAsia="仿宋" w:hAnsi="仿宋" w:cs="仿宋" w:hint="eastAsia"/>
          <w:color w:val="000000"/>
          <w:sz w:val="28"/>
          <w:szCs w:val="28"/>
        </w:rPr>
        <w:t>100</w:t>
      </w:r>
      <w:r>
        <w:rPr>
          <w:rFonts w:ascii="仿宋" w:eastAsia="仿宋" w:hAnsi="仿宋" w:cs="仿宋" w:hint="eastAsia"/>
          <w:color w:val="000000"/>
          <w:sz w:val="28"/>
          <w:szCs w:val="28"/>
        </w:rPr>
        <w:t>分，其中专业课笔试占</w:t>
      </w:r>
      <w:r>
        <w:rPr>
          <w:rFonts w:ascii="仿宋" w:eastAsia="仿宋" w:hAnsi="仿宋" w:cs="仿宋" w:hint="eastAsia"/>
          <w:color w:val="000000"/>
          <w:sz w:val="28"/>
          <w:szCs w:val="28"/>
        </w:rPr>
        <w:t>45</w:t>
      </w:r>
      <w:r>
        <w:rPr>
          <w:rFonts w:ascii="仿宋" w:eastAsia="仿宋" w:hAnsi="仿宋" w:cs="仿宋" w:hint="eastAsia"/>
          <w:color w:val="000000"/>
          <w:sz w:val="28"/>
          <w:szCs w:val="28"/>
        </w:rPr>
        <w:t>％，专业课面试占</w:t>
      </w:r>
      <w:r>
        <w:rPr>
          <w:rFonts w:ascii="仿宋" w:eastAsia="仿宋" w:hAnsi="仿宋" w:cs="仿宋" w:hint="eastAsia"/>
          <w:color w:val="000000"/>
          <w:sz w:val="28"/>
          <w:szCs w:val="28"/>
        </w:rPr>
        <w:t>35</w:t>
      </w:r>
      <w:r>
        <w:rPr>
          <w:rFonts w:ascii="仿宋" w:eastAsia="仿宋" w:hAnsi="仿宋" w:cs="仿宋" w:hint="eastAsia"/>
          <w:color w:val="000000"/>
          <w:sz w:val="28"/>
          <w:szCs w:val="28"/>
        </w:rPr>
        <w:t>％，英语听力与口语水平测试占</w:t>
      </w:r>
      <w:r>
        <w:rPr>
          <w:rFonts w:ascii="仿宋" w:eastAsia="仿宋" w:hAnsi="仿宋" w:cs="仿宋" w:hint="eastAsia"/>
          <w:color w:val="000000"/>
          <w:sz w:val="28"/>
          <w:szCs w:val="28"/>
        </w:rPr>
        <w:t>20</w:t>
      </w:r>
      <w:r>
        <w:rPr>
          <w:rFonts w:ascii="仿宋" w:eastAsia="仿宋" w:hAnsi="仿宋" w:cs="仿宋" w:hint="eastAsia"/>
          <w:color w:val="000000"/>
          <w:sz w:val="28"/>
          <w:szCs w:val="28"/>
        </w:rPr>
        <w:t>％。专业课笔试时间为</w:t>
      </w:r>
      <w:r>
        <w:rPr>
          <w:rFonts w:ascii="仿宋" w:eastAsia="仿宋" w:hAnsi="仿宋" w:cs="仿宋" w:hint="eastAsia"/>
          <w:color w:val="000000"/>
          <w:sz w:val="28"/>
          <w:szCs w:val="28"/>
        </w:rPr>
        <w:t>2</w:t>
      </w:r>
      <w:r>
        <w:rPr>
          <w:rFonts w:ascii="仿宋" w:eastAsia="仿宋" w:hAnsi="仿宋" w:cs="仿宋" w:hint="eastAsia"/>
          <w:color w:val="000000"/>
          <w:sz w:val="28"/>
          <w:szCs w:val="28"/>
        </w:rPr>
        <w:t>小时，专业课面试时间每个考生不少于</w:t>
      </w:r>
      <w:r>
        <w:rPr>
          <w:rFonts w:ascii="仿宋" w:eastAsia="仿宋" w:hAnsi="仿宋" w:cs="仿宋" w:hint="eastAsia"/>
          <w:color w:val="000000"/>
          <w:sz w:val="28"/>
          <w:szCs w:val="28"/>
        </w:rPr>
        <w:t>20</w:t>
      </w:r>
      <w:r>
        <w:rPr>
          <w:rFonts w:ascii="仿宋" w:eastAsia="仿宋" w:hAnsi="仿宋" w:cs="仿宋" w:hint="eastAsia"/>
          <w:color w:val="000000"/>
          <w:sz w:val="28"/>
          <w:szCs w:val="28"/>
        </w:rPr>
        <w:t>分钟，英语听力与口语水平测试每个考生不少于</w:t>
      </w:r>
      <w:r>
        <w:rPr>
          <w:rFonts w:ascii="仿宋" w:eastAsia="仿宋" w:hAnsi="仿宋" w:cs="仿宋" w:hint="eastAsia"/>
          <w:color w:val="000000"/>
          <w:sz w:val="28"/>
          <w:szCs w:val="28"/>
        </w:rPr>
        <w:t>10</w:t>
      </w:r>
      <w:r>
        <w:rPr>
          <w:rFonts w:ascii="仿宋" w:eastAsia="仿宋" w:hAnsi="仿宋" w:cs="仿宋" w:hint="eastAsia"/>
          <w:color w:val="000000"/>
          <w:sz w:val="28"/>
          <w:szCs w:val="28"/>
        </w:rPr>
        <w:t>分钟。</w:t>
      </w:r>
    </w:p>
    <w:p w:rsidR="00D0585D" w:rsidRDefault="00D36357">
      <w:pPr>
        <w:pStyle w:val="a6"/>
        <w:widowControl/>
        <w:spacing w:line="560" w:lineRule="exact"/>
        <w:rPr>
          <w:rFonts w:ascii="仿宋" w:eastAsia="仿宋" w:hAnsi="仿宋" w:cs="仿宋"/>
          <w:sz w:val="28"/>
          <w:szCs w:val="28"/>
        </w:rPr>
      </w:pP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六）复试成绩报送。学院根据实际情况确定复试各环节成绩总分值，最后报送研究生院的考生的复试总成绩须折合为百分制。复试总成绩由专业课笔试、专业课面试、英语听力与口语水平测试的成绩加权后组成。复试结束后，及时将复试成绩报送研究生院。</w:t>
      </w:r>
    </w:p>
    <w:p w:rsidR="00D0585D" w:rsidRDefault="00D36357">
      <w:pPr>
        <w:pStyle w:val="a6"/>
        <w:widowControl/>
        <w:spacing w:line="56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（七）录取总成绩。复试总成绩在</w:t>
      </w:r>
      <w:r>
        <w:rPr>
          <w:rFonts w:ascii="仿宋" w:eastAsia="仿宋" w:hAnsi="仿宋" w:cs="仿宋" w:hint="eastAsia"/>
          <w:color w:val="000000"/>
          <w:sz w:val="28"/>
          <w:szCs w:val="28"/>
        </w:rPr>
        <w:t>60</w:t>
      </w:r>
      <w:r>
        <w:rPr>
          <w:rFonts w:ascii="仿宋" w:eastAsia="仿宋" w:hAnsi="仿宋" w:cs="仿宋" w:hint="eastAsia"/>
          <w:color w:val="000000"/>
          <w:sz w:val="28"/>
          <w:szCs w:val="28"/>
        </w:rPr>
        <w:t>分以上者（含</w:t>
      </w:r>
      <w:r>
        <w:rPr>
          <w:rFonts w:ascii="仿宋" w:eastAsia="仿宋" w:hAnsi="仿宋" w:cs="仿宋" w:hint="eastAsia"/>
          <w:color w:val="000000"/>
          <w:sz w:val="28"/>
          <w:szCs w:val="28"/>
        </w:rPr>
        <w:t>60</w:t>
      </w:r>
      <w:r>
        <w:rPr>
          <w:rFonts w:ascii="仿宋" w:eastAsia="仿宋" w:hAnsi="仿宋" w:cs="仿宋" w:hint="eastAsia"/>
          <w:color w:val="000000"/>
          <w:sz w:val="28"/>
          <w:szCs w:val="28"/>
        </w:rPr>
        <w:t>分）其复试总成绩与初试成绩加权求和为最后的录取总成绩，其中初试成绩权重占</w:t>
      </w:r>
      <w:r>
        <w:rPr>
          <w:rFonts w:ascii="仿宋" w:eastAsia="仿宋" w:hAnsi="仿宋" w:cs="仿宋" w:hint="eastAsia"/>
          <w:color w:val="000000"/>
          <w:sz w:val="28"/>
          <w:szCs w:val="28"/>
        </w:rPr>
        <w:t>60</w:t>
      </w:r>
      <w:r>
        <w:rPr>
          <w:rFonts w:ascii="仿宋" w:eastAsia="仿宋" w:hAnsi="仿宋" w:cs="仿宋" w:hint="eastAsia"/>
          <w:color w:val="000000"/>
          <w:sz w:val="28"/>
          <w:szCs w:val="28"/>
        </w:rPr>
        <w:t>％，复试成绩权重占</w:t>
      </w:r>
      <w:r>
        <w:rPr>
          <w:rFonts w:ascii="仿宋" w:eastAsia="仿宋" w:hAnsi="仿宋" w:cs="仿宋" w:hint="eastAsia"/>
          <w:color w:val="000000"/>
          <w:sz w:val="28"/>
          <w:szCs w:val="28"/>
        </w:rPr>
        <w:t>40</w:t>
      </w:r>
      <w:r>
        <w:rPr>
          <w:rFonts w:ascii="仿宋" w:eastAsia="仿宋" w:hAnsi="仿宋" w:cs="仿宋" w:hint="eastAsia"/>
          <w:color w:val="000000"/>
          <w:sz w:val="28"/>
          <w:szCs w:val="28"/>
        </w:rPr>
        <w:t>％。依据考生录取总成绩的排序依次择优录取。</w:t>
      </w:r>
      <w:r>
        <w:rPr>
          <w:rFonts w:ascii="仿宋" w:eastAsia="仿宋" w:hAnsi="仿宋" w:cs="仿宋" w:hint="eastAsia"/>
          <w:color w:val="000000"/>
          <w:sz w:val="28"/>
          <w:szCs w:val="28"/>
        </w:rPr>
        <w:t xml:space="preserve"> </w:t>
      </w:r>
    </w:p>
    <w:p w:rsidR="00D0585D" w:rsidRDefault="00D36357">
      <w:pPr>
        <w:pStyle w:val="a6"/>
        <w:widowControl/>
        <w:spacing w:line="560" w:lineRule="exact"/>
        <w:rPr>
          <w:rFonts w:ascii="仿宋" w:eastAsia="仿宋" w:hAnsi="仿宋" w:cs="仿宋"/>
          <w:sz w:val="28"/>
          <w:szCs w:val="28"/>
        </w:rPr>
      </w:pP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（八）同等学力考生复试除参加上述各项内容的复试外还须加试两门所报专业大</w:t>
      </w:r>
      <w:r>
        <w:rPr>
          <w:rFonts w:ascii="仿宋" w:eastAsia="仿宋" w:hAnsi="仿宋" w:cs="仿宋" w:hint="eastAsia"/>
          <w:color w:val="000000"/>
          <w:sz w:val="28"/>
          <w:szCs w:val="28"/>
        </w:rPr>
        <w:t>学本科主干课程，考试形式一律采用笔试，每门考试时间为</w:t>
      </w:r>
      <w:r>
        <w:rPr>
          <w:rFonts w:ascii="仿宋" w:eastAsia="仿宋" w:hAnsi="仿宋" w:cs="仿宋" w:hint="eastAsia"/>
          <w:color w:val="000000"/>
          <w:sz w:val="28"/>
          <w:szCs w:val="28"/>
        </w:rPr>
        <w:t>2</w:t>
      </w:r>
      <w:r>
        <w:rPr>
          <w:rFonts w:ascii="仿宋" w:eastAsia="仿宋" w:hAnsi="仿宋" w:cs="仿宋" w:hint="eastAsia"/>
          <w:color w:val="000000"/>
          <w:sz w:val="28"/>
          <w:szCs w:val="28"/>
        </w:rPr>
        <w:t>小时，满分均为</w:t>
      </w:r>
      <w:r>
        <w:rPr>
          <w:rFonts w:ascii="仿宋" w:eastAsia="仿宋" w:hAnsi="仿宋" w:cs="仿宋" w:hint="eastAsia"/>
          <w:color w:val="000000"/>
          <w:sz w:val="28"/>
          <w:szCs w:val="28"/>
        </w:rPr>
        <w:t>100</w:t>
      </w:r>
      <w:r>
        <w:rPr>
          <w:rFonts w:ascii="仿宋" w:eastAsia="仿宋" w:hAnsi="仿宋" w:cs="仿宋" w:hint="eastAsia"/>
          <w:color w:val="000000"/>
          <w:sz w:val="28"/>
          <w:szCs w:val="28"/>
        </w:rPr>
        <w:t>分，且不得与初试科目相同。加试科目的成绩不计入复试总成绩，但如有</w:t>
      </w:r>
      <w:r>
        <w:rPr>
          <w:rFonts w:ascii="仿宋" w:eastAsia="仿宋" w:hAnsi="仿宋" w:cs="仿宋" w:hint="eastAsia"/>
          <w:color w:val="000000"/>
          <w:sz w:val="28"/>
          <w:szCs w:val="28"/>
        </w:rPr>
        <w:t>1</w:t>
      </w:r>
      <w:r>
        <w:rPr>
          <w:rFonts w:ascii="仿宋" w:eastAsia="仿宋" w:hAnsi="仿宋" w:cs="仿宋" w:hint="eastAsia"/>
          <w:color w:val="000000"/>
          <w:sz w:val="28"/>
          <w:szCs w:val="28"/>
        </w:rPr>
        <w:t>门加试科目低于</w:t>
      </w:r>
      <w:r>
        <w:rPr>
          <w:rFonts w:ascii="仿宋" w:eastAsia="仿宋" w:hAnsi="仿宋" w:cs="仿宋" w:hint="eastAsia"/>
          <w:color w:val="000000"/>
          <w:sz w:val="28"/>
          <w:szCs w:val="28"/>
        </w:rPr>
        <w:t>60</w:t>
      </w:r>
      <w:r>
        <w:rPr>
          <w:rFonts w:ascii="仿宋" w:eastAsia="仿宋" w:hAnsi="仿宋" w:cs="仿宋" w:hint="eastAsia"/>
          <w:color w:val="000000"/>
          <w:sz w:val="28"/>
          <w:szCs w:val="28"/>
        </w:rPr>
        <w:t>分者，不予录取。</w:t>
      </w:r>
    </w:p>
    <w:p w:rsidR="00D0585D" w:rsidRDefault="00D36357">
      <w:pPr>
        <w:pStyle w:val="a6"/>
        <w:widowControl/>
        <w:spacing w:line="560" w:lineRule="exact"/>
        <w:rPr>
          <w:rFonts w:ascii="仿宋" w:eastAsia="仿宋" w:hAnsi="仿宋" w:cs="仿宋"/>
          <w:sz w:val="28"/>
          <w:szCs w:val="28"/>
        </w:rPr>
      </w:pP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（九）</w:t>
      </w:r>
      <w:r>
        <w:rPr>
          <w:rFonts w:ascii="仿宋" w:eastAsia="仿宋" w:hAnsi="仿宋" w:cs="仿宋" w:hint="eastAsia"/>
          <w:color w:val="000000" w:themeColor="text1"/>
          <w:sz w:val="28"/>
          <w:szCs w:val="28"/>
        </w:rPr>
        <w:t>面试成绩低于</w:t>
      </w:r>
      <w:r>
        <w:rPr>
          <w:rFonts w:ascii="仿宋" w:eastAsia="仿宋" w:hAnsi="仿宋" w:cs="仿宋" w:hint="eastAsia"/>
          <w:color w:val="000000" w:themeColor="text1"/>
          <w:sz w:val="28"/>
          <w:szCs w:val="28"/>
        </w:rPr>
        <w:t>60</w:t>
      </w:r>
      <w:r>
        <w:rPr>
          <w:rFonts w:ascii="仿宋" w:eastAsia="仿宋" w:hAnsi="仿宋" w:cs="仿宋" w:hint="eastAsia"/>
          <w:color w:val="000000" w:themeColor="text1"/>
          <w:sz w:val="28"/>
          <w:szCs w:val="28"/>
        </w:rPr>
        <w:t>分或</w:t>
      </w:r>
      <w:r>
        <w:rPr>
          <w:rFonts w:ascii="仿宋" w:eastAsia="仿宋" w:hAnsi="仿宋" w:cs="仿宋" w:hint="eastAsia"/>
          <w:color w:val="000000"/>
          <w:sz w:val="28"/>
          <w:szCs w:val="28"/>
        </w:rPr>
        <w:t>复试总成绩低于</w:t>
      </w:r>
      <w:r>
        <w:rPr>
          <w:rFonts w:ascii="仿宋" w:eastAsia="仿宋" w:hAnsi="仿宋" w:cs="仿宋" w:hint="eastAsia"/>
          <w:color w:val="000000"/>
          <w:sz w:val="28"/>
          <w:szCs w:val="28"/>
        </w:rPr>
        <w:t>60</w:t>
      </w:r>
      <w:r>
        <w:rPr>
          <w:rFonts w:ascii="仿宋" w:eastAsia="仿宋" w:hAnsi="仿宋" w:cs="仿宋" w:hint="eastAsia"/>
          <w:color w:val="000000"/>
          <w:sz w:val="28"/>
          <w:szCs w:val="28"/>
        </w:rPr>
        <w:t>分，均视为复试不合格，不予录取。</w:t>
      </w:r>
    </w:p>
    <w:p w:rsidR="00D0585D" w:rsidRDefault="00D36357">
      <w:pPr>
        <w:pStyle w:val="a6"/>
        <w:widowControl/>
        <w:spacing w:line="560" w:lineRule="exact"/>
        <w:rPr>
          <w:rFonts w:ascii="仿宋" w:eastAsia="仿宋" w:hAnsi="仿宋" w:cs="仿宋"/>
          <w:sz w:val="28"/>
          <w:szCs w:val="28"/>
        </w:rPr>
      </w:pP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（十）复试期间还将进行体检、政审及思想政治素质和品德等其它情况审查，审查不合格者不予录取。</w:t>
      </w:r>
    </w:p>
    <w:p w:rsidR="00D0585D" w:rsidRDefault="00D36357">
      <w:pPr>
        <w:pStyle w:val="a6"/>
        <w:widowControl/>
        <w:spacing w:line="560" w:lineRule="exact"/>
        <w:ind w:firstLineChars="200" w:firstLine="562"/>
        <w:rPr>
          <w:sz w:val="28"/>
          <w:szCs w:val="28"/>
        </w:rPr>
      </w:pPr>
      <w:r>
        <w:rPr>
          <w:rFonts w:ascii="Verdana" w:hAnsi="Verdana" w:cs="Verdana" w:hint="eastAsia"/>
          <w:b/>
          <w:color w:val="000000"/>
          <w:sz w:val="28"/>
          <w:szCs w:val="28"/>
        </w:rPr>
        <w:t>五、复试的监督与复议</w:t>
      </w:r>
    </w:p>
    <w:p w:rsidR="00D0585D" w:rsidRDefault="00D36357">
      <w:pPr>
        <w:pStyle w:val="a6"/>
        <w:widowControl/>
        <w:spacing w:line="560" w:lineRule="exact"/>
        <w:rPr>
          <w:rFonts w:ascii="仿宋" w:eastAsia="仿宋" w:hAnsi="仿宋" w:cs="仿宋"/>
          <w:sz w:val="28"/>
          <w:szCs w:val="28"/>
        </w:rPr>
      </w:pPr>
      <w:r>
        <w:rPr>
          <w:rFonts w:ascii="仿宋" w:eastAsia="仿宋" w:hAnsi="仿宋" w:cs="仿宋" w:hint="eastAsia"/>
          <w:color w:val="000000"/>
          <w:sz w:val="28"/>
          <w:szCs w:val="28"/>
        </w:rPr>
        <w:lastRenderedPageBreak/>
        <w:t xml:space="preserve">   </w:t>
      </w:r>
      <w:r>
        <w:rPr>
          <w:rFonts w:ascii="仿宋" w:eastAsia="仿宋" w:hAnsi="仿宋" w:cs="仿宋" w:hint="eastAsia"/>
          <w:color w:val="000000"/>
          <w:sz w:val="28"/>
          <w:szCs w:val="28"/>
        </w:rPr>
        <w:t>（一）实行责任制度和责任追究制度。学院研究生招生复试工作领导小组对复试过程和复试结果全面负责。完善对复试工作过程的监督，严肃处</w:t>
      </w:r>
      <w:r>
        <w:rPr>
          <w:rFonts w:ascii="仿宋" w:eastAsia="仿宋" w:hAnsi="仿宋" w:cs="仿宋" w:hint="eastAsia"/>
          <w:color w:val="000000"/>
          <w:sz w:val="28"/>
          <w:szCs w:val="28"/>
        </w:rPr>
        <w:t>理违纪、违规事件。</w:t>
      </w:r>
    </w:p>
    <w:p w:rsidR="00D0585D" w:rsidRDefault="00D36357">
      <w:pPr>
        <w:pStyle w:val="a6"/>
        <w:widowControl/>
        <w:spacing w:line="560" w:lineRule="exact"/>
        <w:rPr>
          <w:rFonts w:ascii="仿宋" w:eastAsia="仿宋" w:hAnsi="仿宋" w:cs="仿宋"/>
          <w:sz w:val="28"/>
          <w:szCs w:val="28"/>
        </w:rPr>
      </w:pP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（二）实行监督制度和巡视制度。学院成立由党委（总支）书记或纪检委员为组长的监督小组，对本单位复试工作实施全程监督。</w:t>
      </w:r>
    </w:p>
    <w:p w:rsidR="00D0585D" w:rsidRDefault="00D36357">
      <w:pPr>
        <w:pStyle w:val="a6"/>
        <w:widowControl/>
        <w:spacing w:line="560" w:lineRule="exact"/>
        <w:rPr>
          <w:rFonts w:ascii="仿宋" w:eastAsia="仿宋" w:hAnsi="仿宋" w:cs="仿宋"/>
          <w:sz w:val="28"/>
          <w:szCs w:val="28"/>
        </w:rPr>
      </w:pP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（三）实行信息公布制度。复试基本分数线、复试工作办法等信息按规定的时间及时公布。</w:t>
      </w:r>
    </w:p>
    <w:p w:rsidR="00D0585D" w:rsidRDefault="00D36357">
      <w:pPr>
        <w:pStyle w:val="a6"/>
        <w:widowControl/>
        <w:spacing w:line="560" w:lineRule="exact"/>
        <w:rPr>
          <w:rFonts w:ascii="仿宋" w:eastAsia="仿宋" w:hAnsi="仿宋" w:cs="仿宋"/>
          <w:sz w:val="28"/>
          <w:szCs w:val="28"/>
        </w:rPr>
      </w:pP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四）实行复议制度。保证投诉、申诉和监督渠道的畅通。学院受理投诉和申诉应及时上报校监审处和研究生院招生办公室，并在一周内予以回复。对投诉和申诉问题经调查属实的，由研究生招生工作领导小组责成复试工作小组或复试小组进行复议。涉及招生政策、原则的，由学校研究生招生办公室负责解释；涉</w:t>
      </w:r>
      <w:r>
        <w:rPr>
          <w:rFonts w:ascii="仿宋" w:eastAsia="仿宋" w:hAnsi="仿宋" w:cs="仿宋" w:hint="eastAsia"/>
          <w:color w:val="000000"/>
          <w:sz w:val="28"/>
          <w:szCs w:val="28"/>
        </w:rPr>
        <w:t>及复试成绩等有关问题的，由学院负责解释。</w:t>
      </w:r>
    </w:p>
    <w:p w:rsidR="00D0585D" w:rsidRDefault="00D36357">
      <w:pPr>
        <w:pStyle w:val="a6"/>
        <w:widowControl/>
        <w:spacing w:line="56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（五）增强复试录取工作透明度，坚决抵制不正之风。研究生院、校监审处将监督、抽检和配合各院（中心）的工作，确保学校硕士研究生复试工作的顺利进行。同时，学校纪检部门为考生设立投诉电话（</w:t>
      </w:r>
      <w:r>
        <w:rPr>
          <w:rFonts w:ascii="仿宋" w:eastAsia="仿宋" w:hAnsi="仿宋" w:cs="仿宋" w:hint="eastAsia"/>
          <w:color w:val="000000"/>
          <w:sz w:val="28"/>
          <w:szCs w:val="28"/>
        </w:rPr>
        <w:t>0951-2061117</w:t>
      </w:r>
      <w:r>
        <w:rPr>
          <w:rFonts w:ascii="仿宋" w:eastAsia="仿宋" w:hAnsi="仿宋" w:cs="仿宋" w:hint="eastAsia"/>
          <w:color w:val="000000"/>
          <w:sz w:val="28"/>
          <w:szCs w:val="28"/>
        </w:rPr>
        <w:t>），邮箱：</w:t>
      </w:r>
      <w:r>
        <w:rPr>
          <w:rFonts w:ascii="仿宋" w:eastAsia="仿宋" w:hAnsi="仿宋" w:cs="仿宋" w:hint="eastAsia"/>
          <w:color w:val="000000"/>
          <w:sz w:val="28"/>
          <w:szCs w:val="28"/>
        </w:rPr>
        <w:t>jsc@nxu.edu.cn</w:t>
      </w:r>
      <w:r>
        <w:rPr>
          <w:rFonts w:ascii="仿宋" w:eastAsia="仿宋" w:hAnsi="仿宋" w:cs="仿宋" w:hint="eastAsia"/>
          <w:color w:val="000000"/>
          <w:sz w:val="28"/>
          <w:szCs w:val="28"/>
        </w:rPr>
        <w:t>；研究生院投诉电话（</w:t>
      </w:r>
      <w:r>
        <w:rPr>
          <w:rFonts w:ascii="仿宋" w:eastAsia="仿宋" w:hAnsi="仿宋" w:cs="仿宋" w:hint="eastAsia"/>
          <w:color w:val="000000"/>
          <w:sz w:val="28"/>
          <w:szCs w:val="28"/>
        </w:rPr>
        <w:t>0951-2061096</w:t>
      </w:r>
      <w:r>
        <w:rPr>
          <w:rFonts w:ascii="仿宋" w:eastAsia="仿宋" w:hAnsi="仿宋" w:cs="仿宋" w:hint="eastAsia"/>
          <w:color w:val="000000"/>
          <w:sz w:val="28"/>
          <w:szCs w:val="28"/>
        </w:rPr>
        <w:t>），邮箱：</w:t>
      </w:r>
      <w:hyperlink r:id="rId8" w:history="1">
        <w:r>
          <w:rPr>
            <w:rStyle w:val="a7"/>
            <w:rFonts w:ascii="仿宋" w:eastAsia="仿宋" w:hAnsi="仿宋" w:cs="仿宋" w:hint="eastAsia"/>
            <w:sz w:val="28"/>
            <w:szCs w:val="28"/>
          </w:rPr>
          <w:t>yzb@nxu.edu.cn</w:t>
        </w:r>
        <w:r>
          <w:rPr>
            <w:rStyle w:val="a7"/>
            <w:rFonts w:ascii="仿宋" w:eastAsia="仿宋" w:hAnsi="仿宋" w:cs="仿宋" w:hint="eastAsia"/>
            <w:sz w:val="28"/>
            <w:szCs w:val="28"/>
          </w:rPr>
          <w:t>；数学统计学院投诉电话（</w:t>
        </w:r>
        <w:r>
          <w:rPr>
            <w:rStyle w:val="a7"/>
            <w:rFonts w:ascii="仿宋" w:eastAsia="仿宋" w:hAnsi="仿宋" w:cs="仿宋" w:hint="eastAsia"/>
            <w:sz w:val="28"/>
            <w:szCs w:val="28"/>
          </w:rPr>
          <w:t>0951</w:t>
        </w:r>
      </w:hyperlink>
      <w:r>
        <w:rPr>
          <w:rFonts w:ascii="仿宋" w:eastAsia="仿宋" w:hAnsi="仿宋" w:cs="仿宋" w:hint="eastAsia"/>
          <w:color w:val="000000"/>
          <w:sz w:val="28"/>
          <w:szCs w:val="28"/>
        </w:rPr>
        <w:t>-2061578</w:t>
      </w:r>
      <w:r>
        <w:rPr>
          <w:rFonts w:ascii="仿宋" w:eastAsia="仿宋" w:hAnsi="仿宋" w:cs="仿宋" w:hint="eastAsia"/>
          <w:color w:val="000000"/>
          <w:sz w:val="28"/>
          <w:szCs w:val="28"/>
        </w:rPr>
        <w:t>），邮箱：</w:t>
      </w:r>
      <w:hyperlink r:id="rId9" w:history="1">
        <w:r>
          <w:rPr>
            <w:rFonts w:ascii="仿宋" w:eastAsia="仿宋" w:hAnsi="仿宋" w:cs="仿宋"/>
            <w:color w:val="000000"/>
            <w:sz w:val="28"/>
            <w:szCs w:val="28"/>
          </w:rPr>
          <w:t>liufx@nxu.edu.cn</w:t>
        </w:r>
      </w:hyperlink>
      <w:r>
        <w:rPr>
          <w:rFonts w:ascii="仿宋" w:eastAsia="仿宋" w:hAnsi="仿宋" w:cs="仿宋" w:hint="eastAsia"/>
          <w:color w:val="000000"/>
          <w:sz w:val="28"/>
          <w:szCs w:val="28"/>
        </w:rPr>
        <w:t>。</w:t>
      </w:r>
    </w:p>
    <w:p w:rsidR="00D0585D" w:rsidRDefault="00D0585D">
      <w:pPr>
        <w:pStyle w:val="a6"/>
        <w:widowControl/>
        <w:spacing w:line="560" w:lineRule="exact"/>
        <w:jc w:val="right"/>
        <w:rPr>
          <w:rFonts w:ascii="仿宋" w:eastAsia="仿宋" w:hAnsi="仿宋" w:cs="仿宋"/>
          <w:color w:val="000000"/>
          <w:sz w:val="28"/>
          <w:szCs w:val="28"/>
        </w:rPr>
      </w:pPr>
    </w:p>
    <w:p w:rsidR="00D0585D" w:rsidRDefault="00D36357">
      <w:pPr>
        <w:pStyle w:val="a6"/>
        <w:widowControl/>
        <w:spacing w:line="560" w:lineRule="exact"/>
        <w:jc w:val="right"/>
        <w:rPr>
          <w:rFonts w:ascii="仿宋" w:eastAsia="仿宋" w:hAnsi="仿宋" w:cs="仿宋"/>
          <w:color w:val="000000"/>
          <w:sz w:val="28"/>
          <w:szCs w:val="28"/>
        </w:rPr>
      </w:pPr>
      <w:r>
        <w:rPr>
          <w:rFonts w:ascii="仿宋" w:eastAsia="仿宋" w:hAnsi="仿宋" w:cs="仿宋" w:hint="eastAsia"/>
          <w:color w:val="000000"/>
          <w:sz w:val="28"/>
          <w:szCs w:val="28"/>
        </w:rPr>
        <w:t>宁夏大学数学统计学院</w:t>
      </w:r>
    </w:p>
    <w:p w:rsidR="00D0585D" w:rsidRDefault="00D36357">
      <w:pPr>
        <w:pStyle w:val="a6"/>
        <w:widowControl/>
        <w:spacing w:line="560" w:lineRule="exact"/>
        <w:jc w:val="right"/>
        <w:rPr>
          <w:rFonts w:ascii="仿宋" w:eastAsia="仿宋" w:hAnsi="仿宋" w:cs="仿宋"/>
          <w:sz w:val="28"/>
          <w:szCs w:val="28"/>
        </w:rPr>
      </w:pPr>
      <w:r>
        <w:rPr>
          <w:rFonts w:ascii="仿宋" w:eastAsia="仿宋" w:hAnsi="仿宋" w:cs="仿宋" w:hint="eastAsia"/>
          <w:color w:val="000000"/>
          <w:sz w:val="28"/>
          <w:szCs w:val="28"/>
        </w:rPr>
        <w:t>2019</w:t>
      </w:r>
      <w:r>
        <w:rPr>
          <w:rFonts w:ascii="仿宋" w:eastAsia="仿宋" w:hAnsi="仿宋" w:cs="仿宋" w:hint="eastAsia"/>
          <w:color w:val="000000"/>
          <w:sz w:val="28"/>
          <w:szCs w:val="28"/>
        </w:rPr>
        <w:t>年</w:t>
      </w:r>
      <w:r>
        <w:rPr>
          <w:rFonts w:ascii="仿宋" w:eastAsia="仿宋" w:hAnsi="仿宋" w:cs="仿宋" w:hint="eastAsia"/>
          <w:color w:val="000000"/>
          <w:sz w:val="28"/>
          <w:szCs w:val="28"/>
        </w:rPr>
        <w:t>3</w:t>
      </w:r>
      <w:r>
        <w:rPr>
          <w:rFonts w:ascii="仿宋" w:eastAsia="仿宋" w:hAnsi="仿宋" w:cs="仿宋" w:hint="eastAsia"/>
          <w:color w:val="000000"/>
          <w:sz w:val="28"/>
          <w:szCs w:val="28"/>
        </w:rPr>
        <w:t>月</w:t>
      </w:r>
      <w:r>
        <w:rPr>
          <w:rFonts w:ascii="仿宋" w:eastAsia="仿宋" w:hAnsi="仿宋" w:cs="仿宋" w:hint="eastAsia"/>
          <w:color w:val="000000"/>
          <w:sz w:val="28"/>
          <w:szCs w:val="28"/>
        </w:rPr>
        <w:t>22</w:t>
      </w:r>
      <w:r>
        <w:rPr>
          <w:rFonts w:ascii="仿宋" w:eastAsia="仿宋" w:hAnsi="仿宋" w:cs="仿宋" w:hint="eastAsia"/>
          <w:color w:val="000000"/>
          <w:sz w:val="28"/>
          <w:szCs w:val="28"/>
        </w:rPr>
        <w:t>日</w:t>
      </w:r>
    </w:p>
    <w:p w:rsidR="00D0585D" w:rsidRDefault="00D36357">
      <w:pPr>
        <w:pStyle w:val="Style7"/>
        <w:spacing w:line="560" w:lineRule="exact"/>
        <w:jc w:val="right"/>
        <w:rPr>
          <w:rFonts w:ascii="仿宋" w:eastAsia="仿宋" w:hAnsi="仿宋" w:cs="仿宋"/>
          <w:sz w:val="28"/>
          <w:szCs w:val="28"/>
        </w:rPr>
      </w:pPr>
      <w:r>
        <w:rPr>
          <w:rFonts w:ascii="仿宋" w:eastAsia="仿宋" w:hAnsi="仿宋" w:cs="仿宋" w:hint="eastAsia"/>
          <w:sz w:val="28"/>
          <w:szCs w:val="28"/>
        </w:rPr>
        <w:t>窗体底端</w:t>
      </w:r>
    </w:p>
    <w:p w:rsidR="00D0585D" w:rsidRDefault="00D0585D"/>
    <w:sectPr w:rsidR="00D0585D">
      <w:headerReference w:type="default" r:id="rId10"/>
      <w:footerReference w:type="default" r:id="rId11"/>
      <w:pgSz w:w="11906" w:h="16838"/>
      <w:pgMar w:top="1440" w:right="1800" w:bottom="1440" w:left="1800" w:header="851" w:footer="992" w:gutter="0"/>
      <w:cols w:space="425"/>
      <w:rtlGutter/>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357" w:rsidRDefault="00D36357">
      <w:r>
        <w:separator/>
      </w:r>
    </w:p>
  </w:endnote>
  <w:endnote w:type="continuationSeparator" w:id="0">
    <w:p w:rsidR="00D36357" w:rsidRDefault="00D36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85D" w:rsidRDefault="00D36357">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rsidR="00D0585D" w:rsidRDefault="00D36357">
                          <w:pPr>
                            <w:pStyle w:val="a4"/>
                          </w:pPr>
                          <w:r>
                            <w:rPr>
                              <w:rFonts w:hint="eastAsia"/>
                            </w:rPr>
                            <w:fldChar w:fldCharType="begin"/>
                          </w:r>
                          <w:r>
                            <w:rPr>
                              <w:rFonts w:hint="eastAsia"/>
                            </w:rPr>
                            <w:instrText xml:space="preserve"> PAGE  \* MERGEFORMAT </w:instrText>
                          </w:r>
                          <w:r>
                            <w:rPr>
                              <w:rFonts w:hint="eastAsia"/>
                            </w:rPr>
                            <w:fldChar w:fldCharType="separate"/>
                          </w:r>
                          <w:r w:rsidR="003155B6">
                            <w:rPr>
                              <w:noProof/>
                            </w:rPr>
                            <w:t>4</w:t>
                          </w:r>
                          <w:r>
                            <w:rPr>
                              <w:rFonts w:hint="eastAsia"/>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025" o:spid="_x0000_s1026" type="#_x0000_t202" style="position:absolute;margin-left:0;margin-top:0;width:4.6pt;height:11pt;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" filled="f" stroked="f">
              <v:textbox style="mso-fit-shape-to-text:t" inset="0,0,0,0">
                <w:txbxContent>
                  <w:p w:rsidR="00D0585D" w:rsidRDefault="00D36357">
                    <w:pPr>
                      <w:pStyle w:val="a4"/>
                    </w:pPr>
                    <w:r>
                      <w:rPr>
                        <w:rFonts w:hint="eastAsia"/>
                      </w:rPr>
                      <w:fldChar w:fldCharType="begin"/>
                    </w:r>
                    <w:r>
                      <w:rPr>
                        <w:rFonts w:hint="eastAsia"/>
                      </w:rPr>
                      <w:instrText xml:space="preserve"> PAGE  \* MERGEFORMAT </w:instrText>
                    </w:r>
                    <w:r>
                      <w:rPr>
                        <w:rFonts w:hint="eastAsia"/>
                      </w:rPr>
                      <w:fldChar w:fldCharType="separate"/>
                    </w:r>
                    <w:r w:rsidR="003155B6">
                      <w:rPr>
                        <w:noProof/>
                      </w:rPr>
                      <w:t>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357" w:rsidRDefault="00D36357">
      <w:r>
        <w:separator/>
      </w:r>
    </w:p>
  </w:footnote>
  <w:footnote w:type="continuationSeparator" w:id="0">
    <w:p w:rsidR="00D36357" w:rsidRDefault="00D363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85D" w:rsidRDefault="00D0585D">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DB5E45"/>
    <w:rsid w:val="00036525"/>
    <w:rsid w:val="000B0AC1"/>
    <w:rsid w:val="00115F05"/>
    <w:rsid w:val="00123CDD"/>
    <w:rsid w:val="001457BE"/>
    <w:rsid w:val="001F13F4"/>
    <w:rsid w:val="00240A7C"/>
    <w:rsid w:val="002A3744"/>
    <w:rsid w:val="002A4F10"/>
    <w:rsid w:val="002A514D"/>
    <w:rsid w:val="002F2747"/>
    <w:rsid w:val="003155B6"/>
    <w:rsid w:val="00351860"/>
    <w:rsid w:val="003D24E8"/>
    <w:rsid w:val="00424FE8"/>
    <w:rsid w:val="00437D4C"/>
    <w:rsid w:val="00542D22"/>
    <w:rsid w:val="005D1D8C"/>
    <w:rsid w:val="005F2B88"/>
    <w:rsid w:val="005F57FA"/>
    <w:rsid w:val="006021C8"/>
    <w:rsid w:val="00650E18"/>
    <w:rsid w:val="00666D0B"/>
    <w:rsid w:val="00681724"/>
    <w:rsid w:val="006F0824"/>
    <w:rsid w:val="00782D97"/>
    <w:rsid w:val="007D4136"/>
    <w:rsid w:val="008037D3"/>
    <w:rsid w:val="008049D0"/>
    <w:rsid w:val="0095423B"/>
    <w:rsid w:val="009B58BD"/>
    <w:rsid w:val="009D6B2B"/>
    <w:rsid w:val="00A460C5"/>
    <w:rsid w:val="00AD2633"/>
    <w:rsid w:val="00AD6AD5"/>
    <w:rsid w:val="00B34B74"/>
    <w:rsid w:val="00B71242"/>
    <w:rsid w:val="00B7667F"/>
    <w:rsid w:val="00BE3040"/>
    <w:rsid w:val="00C33F04"/>
    <w:rsid w:val="00C4017F"/>
    <w:rsid w:val="00C452E1"/>
    <w:rsid w:val="00C459A9"/>
    <w:rsid w:val="00C813AA"/>
    <w:rsid w:val="00CC179C"/>
    <w:rsid w:val="00CC5A03"/>
    <w:rsid w:val="00CF09C8"/>
    <w:rsid w:val="00D0585D"/>
    <w:rsid w:val="00D36357"/>
    <w:rsid w:val="00D64FBA"/>
    <w:rsid w:val="00D73C08"/>
    <w:rsid w:val="00E53C79"/>
    <w:rsid w:val="00EB38C7"/>
    <w:rsid w:val="00F03132"/>
    <w:rsid w:val="00F42A2C"/>
    <w:rsid w:val="03D0171F"/>
    <w:rsid w:val="073E722B"/>
    <w:rsid w:val="0A5E5FD9"/>
    <w:rsid w:val="0B95714C"/>
    <w:rsid w:val="0DA315A5"/>
    <w:rsid w:val="10725E44"/>
    <w:rsid w:val="11CA7DBC"/>
    <w:rsid w:val="12AD2276"/>
    <w:rsid w:val="14F41577"/>
    <w:rsid w:val="173A56F0"/>
    <w:rsid w:val="191233D0"/>
    <w:rsid w:val="1CDE1364"/>
    <w:rsid w:val="1CFA4527"/>
    <w:rsid w:val="1D4D7BE7"/>
    <w:rsid w:val="1D7E36D0"/>
    <w:rsid w:val="220B1174"/>
    <w:rsid w:val="24F771A5"/>
    <w:rsid w:val="256415E2"/>
    <w:rsid w:val="25D02876"/>
    <w:rsid w:val="27933338"/>
    <w:rsid w:val="29112AE7"/>
    <w:rsid w:val="3269285F"/>
    <w:rsid w:val="346E7176"/>
    <w:rsid w:val="353B1539"/>
    <w:rsid w:val="35606FE7"/>
    <w:rsid w:val="3A981A57"/>
    <w:rsid w:val="3F02423E"/>
    <w:rsid w:val="3F910DA8"/>
    <w:rsid w:val="41EB4522"/>
    <w:rsid w:val="43631197"/>
    <w:rsid w:val="443006CE"/>
    <w:rsid w:val="450F25DC"/>
    <w:rsid w:val="465734D1"/>
    <w:rsid w:val="481402C6"/>
    <w:rsid w:val="484D3DD4"/>
    <w:rsid w:val="5A7F6743"/>
    <w:rsid w:val="5BE164C8"/>
    <w:rsid w:val="5C155C3F"/>
    <w:rsid w:val="5C8479B4"/>
    <w:rsid w:val="5D3B1EE7"/>
    <w:rsid w:val="6507380E"/>
    <w:rsid w:val="6516083C"/>
    <w:rsid w:val="65332366"/>
    <w:rsid w:val="681769C4"/>
    <w:rsid w:val="69692F7C"/>
    <w:rsid w:val="72C369A2"/>
    <w:rsid w:val="73DB5E45"/>
    <w:rsid w:val="76D64E16"/>
    <w:rsid w:val="77044203"/>
    <w:rsid w:val="776436BF"/>
    <w:rsid w:val="77C62FD8"/>
    <w:rsid w:val="78C61DA6"/>
    <w:rsid w:val="79EF5A7A"/>
    <w:rsid w:val="7A6424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jc w:val="left"/>
    </w:pPr>
    <w:rPr>
      <w:kern w:val="0"/>
      <w:sz w:val="24"/>
    </w:rPr>
  </w:style>
  <w:style w:type="character" w:styleId="a7">
    <w:name w:val="Hyperlink"/>
    <w:basedOn w:val="a0"/>
    <w:rPr>
      <w:color w:val="0563C1" w:themeColor="hyperlink"/>
      <w:u w:val="single"/>
    </w:rPr>
  </w:style>
  <w:style w:type="paragraph" w:customStyle="1" w:styleId="Style6">
    <w:name w:val="_Style 6"/>
    <w:basedOn w:val="a"/>
    <w:next w:val="a"/>
    <w:uiPriority w:val="99"/>
    <w:qFormat/>
    <w:pPr>
      <w:pBdr>
        <w:bottom w:val="single" w:sz="6" w:space="1" w:color="auto"/>
      </w:pBdr>
      <w:jc w:val="center"/>
    </w:pPr>
    <w:rPr>
      <w:rFonts w:ascii="Arial"/>
      <w:vanish/>
      <w:sz w:val="16"/>
    </w:rPr>
  </w:style>
  <w:style w:type="paragraph" w:customStyle="1" w:styleId="Style7">
    <w:name w:val="_Style 7"/>
    <w:basedOn w:val="a"/>
    <w:next w:val="a"/>
    <w:uiPriority w:val="99"/>
    <w:qFormat/>
    <w:pPr>
      <w:pBdr>
        <w:top w:val="single" w:sz="6" w:space="1" w:color="auto"/>
      </w:pBdr>
      <w:jc w:val="center"/>
    </w:pPr>
    <w:rPr>
      <w:rFonts w:ascii="Arial"/>
      <w:vanish/>
      <w:sz w:val="16"/>
    </w:rPr>
  </w:style>
  <w:style w:type="character" w:customStyle="1" w:styleId="Char">
    <w:name w:val="批注框文本 Char"/>
    <w:basedOn w:val="a0"/>
    <w:link w:val="a3"/>
    <w:qFormat/>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jc w:val="left"/>
    </w:pPr>
    <w:rPr>
      <w:kern w:val="0"/>
      <w:sz w:val="24"/>
    </w:rPr>
  </w:style>
  <w:style w:type="character" w:styleId="a7">
    <w:name w:val="Hyperlink"/>
    <w:basedOn w:val="a0"/>
    <w:rPr>
      <w:color w:val="0563C1" w:themeColor="hyperlink"/>
      <w:u w:val="single"/>
    </w:rPr>
  </w:style>
  <w:style w:type="paragraph" w:customStyle="1" w:styleId="Style6">
    <w:name w:val="_Style 6"/>
    <w:basedOn w:val="a"/>
    <w:next w:val="a"/>
    <w:uiPriority w:val="99"/>
    <w:qFormat/>
    <w:pPr>
      <w:pBdr>
        <w:bottom w:val="single" w:sz="6" w:space="1" w:color="auto"/>
      </w:pBdr>
      <w:jc w:val="center"/>
    </w:pPr>
    <w:rPr>
      <w:rFonts w:ascii="Arial"/>
      <w:vanish/>
      <w:sz w:val="16"/>
    </w:rPr>
  </w:style>
  <w:style w:type="paragraph" w:customStyle="1" w:styleId="Style7">
    <w:name w:val="_Style 7"/>
    <w:basedOn w:val="a"/>
    <w:next w:val="a"/>
    <w:uiPriority w:val="99"/>
    <w:qFormat/>
    <w:pPr>
      <w:pBdr>
        <w:top w:val="single" w:sz="6" w:space="1" w:color="auto"/>
      </w:pBdr>
      <w:jc w:val="center"/>
    </w:pPr>
    <w:rPr>
      <w:rFonts w:ascii="Arial"/>
      <w:vanish/>
      <w:sz w:val="16"/>
    </w:rPr>
  </w:style>
  <w:style w:type="character" w:customStyle="1" w:styleId="Char">
    <w:name w:val="批注框文本 Char"/>
    <w:basedOn w:val="a0"/>
    <w:link w:val="a3"/>
    <w:qFormat/>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yzb@nxu.edu.cn&#65307;&#25968;&#23398;&#32479;&#35745;&#23398;&#38498;&#25237;&#35785;&#30005;&#35805;&#65288;0951"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ufx@nx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348</Words>
  <Characters>1987</Characters>
  <Application>Microsoft Office Word</Application>
  <DocSecurity>0</DocSecurity>
  <Lines>16</Lines>
  <Paragraphs>4</Paragraphs>
  <ScaleCrop>false</ScaleCrop>
  <Company>Microsoft</Company>
  <LinksUpToDate>false</LinksUpToDate>
  <CharactersWithSpaces>2331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IBIONE</cp:lastModifiedBy>
  <cp:revision>2</cp:revision>
  <cp:lastPrinted>2018-03-22T01:19:00Z</cp:lastPrinted>
  <dcterms:created xsi:type="dcterms:W3CDTF">2019-03-22T07:24:00Z</dcterms:created>
  <dcterms:modified xsi:type="dcterms:W3CDTF">2019-03-22T07:24:00Z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2052-11.1.0.8550</vt:lpwstr>
  </property>
</Properties>
</file>