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pacing w:before="150" w:line="540" w:lineRule="atLeast"/>
        <w:jc w:val="center"/>
        <w:rPr>
          <w:rFonts w:hint="eastAsia" w:ascii="宋体" w:hAnsi="宋体" w:cs="宋体"/>
          <w:b/>
          <w:bCs/>
          <w:color w:val="000000"/>
          <w:sz w:val="32"/>
          <w:szCs w:val="32"/>
        </w:rPr>
      </w:pPr>
      <w:r>
        <w:rPr>
          <w:rFonts w:hint="eastAsia" w:ascii="宋体" w:hAnsi="宋体" w:cs="宋体"/>
          <w:b/>
          <w:bCs/>
          <w:color w:val="000000"/>
          <w:sz w:val="32"/>
          <w:szCs w:val="32"/>
        </w:rPr>
        <w:t>宁夏大学</w:t>
      </w:r>
      <w:r>
        <w:rPr>
          <w:rFonts w:hint="eastAsia" w:ascii="宋体" w:hAnsi="宋体" w:cs="宋体"/>
          <w:b/>
          <w:bCs/>
          <w:color w:val="000000"/>
          <w:sz w:val="32"/>
          <w:szCs w:val="32"/>
          <w:lang w:eastAsia="zh-CN"/>
        </w:rPr>
        <w:t>音乐学院</w:t>
      </w:r>
      <w:r>
        <w:rPr>
          <w:rFonts w:hint="eastAsia" w:ascii="宋体" w:hAnsi="宋体" w:cs="宋体"/>
          <w:b/>
          <w:bCs/>
          <w:color w:val="000000"/>
          <w:sz w:val="32"/>
          <w:szCs w:val="32"/>
        </w:rPr>
        <w:t>201</w:t>
      </w:r>
      <w:r>
        <w:rPr>
          <w:rFonts w:hint="eastAsia" w:ascii="宋体" w:hAnsi="宋体" w:cs="宋体"/>
          <w:b/>
          <w:bCs/>
          <w:color w:val="000000"/>
          <w:sz w:val="32"/>
          <w:szCs w:val="32"/>
          <w:lang w:val="en-US" w:eastAsia="zh-CN"/>
        </w:rPr>
        <w:t>9</w:t>
      </w:r>
      <w:r>
        <w:rPr>
          <w:rFonts w:hint="eastAsia" w:ascii="宋体" w:hAnsi="宋体" w:cs="宋体"/>
          <w:b/>
          <w:bCs/>
          <w:color w:val="000000"/>
          <w:sz w:val="32"/>
          <w:szCs w:val="32"/>
        </w:rPr>
        <w:t>年硕士研究生招生复试工作办法</w:t>
      </w:r>
    </w:p>
    <w:p>
      <w:pPr>
        <w:pStyle w:val="4"/>
        <w:widowControl/>
        <w:spacing w:before="150" w:line="540" w:lineRule="atLeast"/>
        <w:ind w:firstLine="560" w:firstLineChars="200"/>
        <w:jc w:val="both"/>
        <w:rPr>
          <w:rFonts w:hint="eastAsia" w:ascii="仿宋" w:hAnsi="仿宋" w:eastAsia="仿宋" w:cs="仿宋"/>
          <w:color w:val="000000"/>
          <w:sz w:val="28"/>
          <w:szCs w:val="28"/>
        </w:rPr>
      </w:pPr>
      <w:r>
        <w:rPr>
          <w:rFonts w:hint="eastAsia" w:ascii="仿宋" w:hAnsi="仿宋" w:eastAsia="仿宋" w:cs="仿宋"/>
          <w:color w:val="000000"/>
          <w:sz w:val="28"/>
          <w:szCs w:val="28"/>
          <w:lang w:eastAsia="zh-CN"/>
        </w:rPr>
        <w:t>根据《</w:t>
      </w:r>
      <w:r>
        <w:rPr>
          <w:rFonts w:hint="eastAsia" w:ascii="仿宋" w:hAnsi="仿宋" w:eastAsia="仿宋" w:cs="仿宋"/>
          <w:color w:val="000000"/>
          <w:sz w:val="28"/>
          <w:szCs w:val="28"/>
        </w:rPr>
        <w:t>宁夏大学</w:t>
      </w:r>
      <w:bookmarkStart w:id="0" w:name="_GoBack"/>
      <w:bookmarkEnd w:id="0"/>
      <w:r>
        <w:rPr>
          <w:rFonts w:hint="eastAsia" w:ascii="仿宋" w:hAnsi="仿宋" w:eastAsia="仿宋" w:cs="仿宋"/>
          <w:color w:val="000000"/>
          <w:sz w:val="28"/>
          <w:szCs w:val="28"/>
        </w:rPr>
        <w:t>201</w:t>
      </w:r>
      <w:r>
        <w:rPr>
          <w:rFonts w:hint="eastAsia" w:ascii="仿宋" w:hAnsi="仿宋" w:eastAsia="仿宋" w:cs="仿宋"/>
          <w:color w:val="000000"/>
          <w:sz w:val="28"/>
          <w:szCs w:val="28"/>
          <w:lang w:val="en-US" w:eastAsia="zh-CN"/>
        </w:rPr>
        <w:t>9</w:t>
      </w:r>
      <w:r>
        <w:rPr>
          <w:rFonts w:hint="eastAsia" w:ascii="仿宋" w:hAnsi="仿宋" w:eastAsia="仿宋" w:cs="仿宋"/>
          <w:color w:val="000000"/>
          <w:sz w:val="28"/>
          <w:szCs w:val="28"/>
        </w:rPr>
        <w:t>年硕士研究生招生复试工作办法</w:t>
      </w:r>
      <w:r>
        <w:rPr>
          <w:rFonts w:hint="eastAsia" w:ascii="仿宋" w:hAnsi="仿宋" w:eastAsia="仿宋" w:cs="仿宋"/>
          <w:color w:val="000000"/>
          <w:sz w:val="28"/>
          <w:szCs w:val="28"/>
          <w:lang w:eastAsia="zh-CN"/>
        </w:rPr>
        <w:t>》，结合音乐学院的实际情况，特制订本办法。</w:t>
      </w:r>
    </w:p>
    <w:p>
      <w:pPr>
        <w:pStyle w:val="4"/>
        <w:keepNext w:val="0"/>
        <w:keepLines w:val="0"/>
        <w:widowControl/>
        <w:suppressLineNumbers w:val="0"/>
        <w:spacing w:before="150" w:beforeAutospacing="0" w:after="0" w:afterAutospacing="0" w:line="540" w:lineRule="atLeast"/>
        <w:ind w:left="0" w:right="0" w:firstLine="562" w:firstLineChars="200"/>
        <w:rPr>
          <w:sz w:val="28"/>
          <w:szCs w:val="28"/>
        </w:rPr>
      </w:pPr>
      <w:r>
        <w:rPr>
          <w:rStyle w:val="8"/>
          <w:rFonts w:hint="default" w:ascii="Verdana" w:hAnsi="Verdana" w:cs="Verdana"/>
          <w:color w:val="000000"/>
          <w:sz w:val="28"/>
          <w:szCs w:val="28"/>
        </w:rPr>
        <w:t>一、复试工作原则</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 xml:space="preserve">（一）坚持科学选拔。根据各学科对高层次人才的要求，采用多样化的考察方式、方法，确保生源质量。 </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 xml:space="preserve">（二）坚持公平、公正、公开的原则。做到政策透明、程序规范、结果公开。 </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 xml:space="preserve">（三）坚持全面考察，择优录取、宁缺勿滥，在对考生德智体全面考察的基础上，突出对专业素质、实践能力以及创新能力等方面的考核。 </w:t>
      </w:r>
    </w:p>
    <w:p>
      <w:pPr>
        <w:pStyle w:val="4"/>
        <w:keepNext w:val="0"/>
        <w:keepLines w:val="0"/>
        <w:widowControl/>
        <w:suppressLineNumbers w:val="0"/>
        <w:spacing w:before="150" w:beforeAutospacing="0" w:after="0" w:afterAutospacing="0" w:line="540" w:lineRule="atLeast"/>
        <w:ind w:left="0" w:right="0" w:firstLine="560" w:firstLineChars="200"/>
      </w:pPr>
      <w:r>
        <w:rPr>
          <w:rFonts w:hint="eastAsia" w:ascii="仿宋" w:hAnsi="仿宋" w:eastAsia="仿宋" w:cs="仿宋"/>
          <w:color w:val="000000"/>
          <w:sz w:val="28"/>
          <w:szCs w:val="28"/>
        </w:rPr>
        <w:t xml:space="preserve">（四）坚持客观评价。业务课考核成绩实行量化，综合素质考核也应有明确的量化结果。 </w:t>
      </w:r>
    </w:p>
    <w:p>
      <w:pPr>
        <w:pStyle w:val="4"/>
        <w:keepNext w:val="0"/>
        <w:keepLines w:val="0"/>
        <w:widowControl/>
        <w:suppressLineNumbers w:val="0"/>
        <w:spacing w:before="150" w:beforeAutospacing="0" w:after="0" w:afterAutospacing="0" w:line="540" w:lineRule="atLeast"/>
        <w:ind w:right="0" w:firstLine="562" w:firstLineChars="200"/>
        <w:rPr>
          <w:sz w:val="28"/>
          <w:szCs w:val="28"/>
        </w:rPr>
      </w:pPr>
      <w:r>
        <w:rPr>
          <w:rStyle w:val="8"/>
          <w:rFonts w:hint="default" w:ascii="Verdana" w:hAnsi="Verdana" w:cs="Verdana"/>
          <w:color w:val="000000"/>
          <w:sz w:val="28"/>
          <w:szCs w:val="28"/>
        </w:rPr>
        <w:t>二、复试组织</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（一）我校硕士生入学考试复试工作实行二级管理。学校招生工作领导小组，负责对复试工作的领导和统筹管理。学院负责复试工作具体实施。</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（二）由</w:t>
      </w:r>
      <w:r>
        <w:rPr>
          <w:rFonts w:hint="eastAsia" w:ascii="仿宋" w:hAnsi="仿宋" w:eastAsia="仿宋" w:cs="仿宋"/>
          <w:color w:val="000000"/>
          <w:sz w:val="28"/>
          <w:szCs w:val="28"/>
          <w:lang w:eastAsia="zh-CN"/>
        </w:rPr>
        <w:t>学院</w:t>
      </w:r>
      <w:r>
        <w:rPr>
          <w:rFonts w:hint="eastAsia" w:ascii="仿宋" w:hAnsi="仿宋" w:eastAsia="仿宋" w:cs="仿宋"/>
          <w:color w:val="000000"/>
          <w:sz w:val="28"/>
          <w:szCs w:val="28"/>
        </w:rPr>
        <w:t xml:space="preserve">成立招生复试工作领导小组，组长由院长担任，实行组长负责制，成员包括相关专业的学科带头人、学术骨干、硕士生导师，制订本单位复试工作具体方案等。 </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三）各专业的复试按专业和复试人数组成若干复试小组，必须对参加复试的小组成员进行专门培训。每个复试小组成员不少于5人。复试小组成员应包括专业的硕士生导师，指定1人为组长。复试小组的主要职责为：</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1、在学校招生工作领导小组和</w:t>
      </w:r>
      <w:r>
        <w:rPr>
          <w:rFonts w:hint="eastAsia" w:ascii="仿宋" w:hAnsi="仿宋" w:eastAsia="仿宋" w:cs="仿宋"/>
          <w:color w:val="000000"/>
          <w:sz w:val="28"/>
          <w:szCs w:val="28"/>
          <w:lang w:eastAsia="zh-CN"/>
        </w:rPr>
        <w:t>学院</w:t>
      </w:r>
      <w:r>
        <w:rPr>
          <w:rFonts w:hint="eastAsia" w:ascii="仿宋" w:hAnsi="仿宋" w:eastAsia="仿宋" w:cs="仿宋"/>
          <w:color w:val="000000"/>
          <w:sz w:val="28"/>
          <w:szCs w:val="28"/>
        </w:rPr>
        <w:t>工作领导小组的指导下具体实施</w:t>
      </w:r>
      <w:r>
        <w:rPr>
          <w:rFonts w:hint="eastAsia" w:ascii="仿宋" w:hAnsi="仿宋" w:eastAsia="仿宋" w:cs="仿宋"/>
          <w:color w:val="000000"/>
          <w:sz w:val="28"/>
          <w:szCs w:val="28"/>
          <w:lang w:eastAsia="zh-CN"/>
        </w:rPr>
        <w:t>表演考试、</w:t>
      </w:r>
      <w:r>
        <w:rPr>
          <w:rFonts w:hint="eastAsia" w:ascii="仿宋" w:hAnsi="仿宋" w:eastAsia="仿宋" w:cs="仿宋"/>
          <w:color w:val="000000"/>
          <w:sz w:val="28"/>
          <w:szCs w:val="28"/>
        </w:rPr>
        <w:t>面试</w:t>
      </w:r>
      <w:r>
        <w:rPr>
          <w:rFonts w:hint="eastAsia" w:ascii="仿宋" w:hAnsi="仿宋" w:eastAsia="仿宋" w:cs="仿宋"/>
          <w:color w:val="000000"/>
          <w:sz w:val="28"/>
          <w:szCs w:val="28"/>
          <w:lang w:eastAsia="zh-CN"/>
        </w:rPr>
        <w:t>（综合素质）</w:t>
      </w:r>
      <w:r>
        <w:rPr>
          <w:rFonts w:hint="eastAsia" w:ascii="仿宋" w:hAnsi="仿宋" w:eastAsia="仿宋" w:cs="仿宋"/>
          <w:color w:val="000000"/>
          <w:sz w:val="28"/>
          <w:szCs w:val="28"/>
        </w:rPr>
        <w:t>等考核；</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2、负责确定考生</w:t>
      </w:r>
      <w:r>
        <w:rPr>
          <w:rFonts w:hint="eastAsia" w:ascii="仿宋" w:hAnsi="仿宋" w:eastAsia="仿宋" w:cs="仿宋"/>
          <w:color w:val="000000"/>
          <w:sz w:val="28"/>
          <w:szCs w:val="28"/>
          <w:lang w:eastAsia="zh-CN"/>
        </w:rPr>
        <w:t>表演考试以及</w:t>
      </w:r>
      <w:r>
        <w:rPr>
          <w:rFonts w:hint="eastAsia" w:ascii="仿宋" w:hAnsi="仿宋" w:eastAsia="仿宋" w:cs="仿宋"/>
          <w:color w:val="000000"/>
          <w:sz w:val="28"/>
          <w:szCs w:val="28"/>
        </w:rPr>
        <w:t>面试</w:t>
      </w:r>
      <w:r>
        <w:rPr>
          <w:rFonts w:hint="eastAsia" w:ascii="仿宋" w:hAnsi="仿宋" w:eastAsia="仿宋" w:cs="仿宋"/>
          <w:color w:val="000000"/>
          <w:sz w:val="28"/>
          <w:szCs w:val="28"/>
          <w:lang w:eastAsia="zh-CN"/>
        </w:rPr>
        <w:t>（综合素质）</w:t>
      </w:r>
      <w:r>
        <w:rPr>
          <w:rFonts w:hint="eastAsia" w:ascii="仿宋" w:hAnsi="仿宋" w:eastAsia="仿宋" w:cs="仿宋"/>
          <w:color w:val="000000"/>
          <w:sz w:val="28"/>
          <w:szCs w:val="28"/>
        </w:rPr>
        <w:t>具体内容、评分标准、程序，并具体组织实施。复试小组成员必须现场独立评分。评分记录和考生作答情况不得更改。有直系亲属参加复试的教师应认真执行回避制度。</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（四）同一学科（专业）各复试小组的面试方式、时间、试题难度和成绩评定标准原则上应统一。</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（五）</w:t>
      </w:r>
      <w:r>
        <w:rPr>
          <w:rFonts w:hint="eastAsia" w:ascii="仿宋" w:hAnsi="仿宋" w:eastAsia="仿宋" w:cs="仿宋"/>
          <w:color w:val="000000"/>
          <w:sz w:val="28"/>
          <w:szCs w:val="28"/>
          <w:lang w:eastAsia="zh-CN"/>
        </w:rPr>
        <w:t>学院</w:t>
      </w:r>
      <w:r>
        <w:rPr>
          <w:rFonts w:hint="eastAsia" w:ascii="仿宋" w:hAnsi="仿宋" w:eastAsia="仿宋" w:cs="仿宋"/>
          <w:color w:val="000000"/>
          <w:sz w:val="28"/>
          <w:szCs w:val="28"/>
        </w:rPr>
        <w:t>制订复试工作人员的遴选、培训办法和行为规范。要选派经验丰富、业务水平高、公道正派的人员参与复试工作；要对所有人员进行政策、业务、纪律等方面的培训，使其明确工作纪律和工作程序、评判规则和评判标准；要明确复试小组成员在复试工作中的权利、责任和纪律，规范其工作行为。负责组织召开所有复试教师工作会议，进行复试工作培训，使复试教师了解复试办法、明确复试要求和工作责任、掌握复试方法，保证质量。负责对所有复试工作人员进行保密工作教育。复试工作人员须对试题、答案及评分标准、复试小组名单、考生分组情况、考生成绩、考生个人信息等保密。</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（六）各专业复试全过程必须现场录音、录像。</w:t>
      </w:r>
    </w:p>
    <w:p>
      <w:pPr>
        <w:pStyle w:val="4"/>
        <w:keepNext w:val="0"/>
        <w:keepLines w:val="0"/>
        <w:widowControl/>
        <w:suppressLineNumbers w:val="0"/>
        <w:spacing w:before="150" w:beforeAutospacing="0" w:after="0" w:afterAutospacing="0" w:line="540" w:lineRule="atLeast"/>
        <w:ind w:left="0" w:right="0" w:firstLine="562" w:firstLineChars="200"/>
        <w:rPr>
          <w:rFonts w:hint="eastAsia" w:ascii="宋体" w:hAnsi="宋体" w:eastAsia="宋体" w:cs="宋体"/>
          <w:sz w:val="28"/>
          <w:szCs w:val="28"/>
        </w:rPr>
      </w:pPr>
      <w:r>
        <w:rPr>
          <w:rStyle w:val="8"/>
          <w:rFonts w:hint="eastAsia" w:ascii="宋体" w:hAnsi="宋体" w:eastAsia="宋体" w:cs="宋体"/>
          <w:color w:val="000000"/>
          <w:sz w:val="28"/>
          <w:szCs w:val="28"/>
        </w:rPr>
        <w:t>三、复试人选</w:t>
      </w:r>
    </w:p>
    <w:p>
      <w:pPr>
        <w:pStyle w:val="4"/>
        <w:widowControl/>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参加复试考生为第一志愿报考我校并按照我校公布的复试基本要求的上线人员及调剂考生。复试人数一般不低于拟录取人数的120％。</w:t>
      </w:r>
    </w:p>
    <w:p>
      <w:pPr>
        <w:pStyle w:val="4"/>
        <w:keepNext w:val="0"/>
        <w:keepLines w:val="0"/>
        <w:widowControl/>
        <w:suppressLineNumbers w:val="0"/>
        <w:spacing w:before="150" w:beforeAutospacing="0" w:after="0" w:afterAutospacing="0" w:line="540" w:lineRule="atLeast"/>
        <w:ind w:right="0" w:firstLine="562" w:firstLineChars="200"/>
      </w:pPr>
      <w:r>
        <w:rPr>
          <w:rStyle w:val="8"/>
          <w:rFonts w:hint="eastAsia" w:ascii="宋体" w:hAnsi="宋体" w:eastAsia="宋体" w:cs="宋体"/>
          <w:color w:val="000000"/>
          <w:sz w:val="28"/>
          <w:szCs w:val="28"/>
        </w:rPr>
        <w:t>四、复试资格审查</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1、考生须持初试准考证、二代居民身份证、学历证书、学位证书原件（应届生持每学期均注册的学生证）、政审表报到。对照考生的身份证、学历证书原件等相关材料与报考信息是否一致</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2、对考生身份的审查</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复试开始前，复试小组应认真核对考生身份证上的照片是否与本人、准考证的照片一致，以防考生替考。</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3、对考生资格的审查</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 xml:space="preserve">报考工商管理硕士、公共管理硕士、旅游管理、教育管理的考生，要审查其本科毕业后的工作年限是否达到3年，专科毕业5年（截至录取当年9月）。 </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4、对毕业证书的审查</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复试阶段须对非应届考生的毕业证书原件进行严格审查。对毕业证书原件有疑问的，及时向考生毕业学校进行调查，也可要求考生到教育部指定认证机关认证。</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应届生注意核对学生证上的入学年月是否正确，是否按期注册。根据教育部相关文件规定，对于不能按期取得毕业证书和学位证书的应届毕业生，我校不予录取，何时发现何时取消录取资格。</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在境外获得的学历、学位证书须通过教育部留学服务中心的认证，复试时须检查其认证证书。</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凡在中国研究生招生信息网提示学籍学历有疑问考生，必须提供本人《教育部学历证书电子注册备案表》。</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5、对同等学力考生的审查</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成人高校应届本科毕业生按同等学力报考。</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审查同等学力考生是否大专毕业后工作两年或两年以上（报考MBA、MPA、旅游管理、教育管理专业要求大专毕业后工作五年或五年以上）</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6、对考生身体状况的审查</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考生在复试阶段参加我校统一组织的体检，体检标准参照教育部、卫生部、中国残疾人联合会修订的《普通高等学校招生体检工作指导意见》执行，体检不合格者不予录取。</w:t>
      </w:r>
    </w:p>
    <w:p>
      <w:pPr>
        <w:pStyle w:val="4"/>
        <w:keepNext w:val="0"/>
        <w:keepLines w:val="0"/>
        <w:widowControl/>
        <w:suppressLineNumbers w:val="0"/>
        <w:spacing w:before="150" w:beforeAutospacing="0" w:after="0" w:afterAutospacing="0" w:line="540" w:lineRule="atLeast"/>
        <w:ind w:left="0" w:right="0" w:firstLine="562" w:firstLineChars="200"/>
        <w:rPr>
          <w:sz w:val="28"/>
          <w:szCs w:val="28"/>
        </w:rPr>
      </w:pPr>
      <w:r>
        <w:rPr>
          <w:rStyle w:val="8"/>
          <w:rFonts w:hint="default" w:ascii="Verdana" w:hAnsi="Verdana" w:cs="Verdana"/>
          <w:color w:val="000000"/>
          <w:sz w:val="28"/>
          <w:szCs w:val="28"/>
        </w:rPr>
        <w:t>五、复试工作内容及成绩计算</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color w:val="000000"/>
          <w:sz w:val="28"/>
          <w:szCs w:val="28"/>
          <w:lang w:eastAsia="zh-CN"/>
        </w:rPr>
      </w:pPr>
      <w:r>
        <w:rPr>
          <w:rFonts w:hint="eastAsia" w:ascii="仿宋" w:hAnsi="仿宋" w:eastAsia="仿宋" w:cs="仿宋"/>
          <w:color w:val="000000"/>
          <w:sz w:val="28"/>
          <w:szCs w:val="28"/>
        </w:rPr>
        <w:t>复试内容包括</w:t>
      </w:r>
      <w:r>
        <w:rPr>
          <w:rFonts w:hint="eastAsia" w:ascii="仿宋" w:hAnsi="仿宋" w:eastAsia="仿宋" w:cs="仿宋"/>
          <w:color w:val="000000"/>
          <w:sz w:val="28"/>
          <w:szCs w:val="28"/>
          <w:lang w:eastAsia="zh-CN"/>
        </w:rPr>
        <w:t>专业课主科考试</w:t>
      </w:r>
      <w:r>
        <w:rPr>
          <w:rFonts w:hint="eastAsia" w:ascii="仿宋" w:hAnsi="仿宋" w:eastAsia="仿宋" w:cs="仿宋"/>
          <w:color w:val="000000"/>
          <w:sz w:val="28"/>
          <w:szCs w:val="28"/>
        </w:rPr>
        <w:t>，专业课面试，英语听力与口语水平测试。</w:t>
      </w:r>
      <w:r>
        <w:rPr>
          <w:rFonts w:hint="eastAsia" w:ascii="仿宋" w:hAnsi="仿宋" w:eastAsia="仿宋" w:cs="仿宋"/>
          <w:color w:val="000000"/>
          <w:sz w:val="28"/>
          <w:szCs w:val="28"/>
          <w:lang w:eastAsia="zh-CN"/>
        </w:rPr>
        <w:t>专业课主科考试与面试（综合素质）具体内容见下表：</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 xml:space="preserve"> </w:t>
      </w:r>
    </w:p>
    <w:tbl>
      <w:tblPr>
        <w:tblStyle w:val="6"/>
        <w:tblW w:w="848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0"/>
        <w:gridCol w:w="588"/>
        <w:gridCol w:w="2875"/>
        <w:gridCol w:w="3137"/>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340" w:type="dxa"/>
            <w:vMerge w:val="restart"/>
            <w:noWrap w:val="0"/>
            <w:vAlign w:val="center"/>
          </w:tcPr>
          <w:p>
            <w:pPr>
              <w:pStyle w:val="4"/>
              <w:widowControl/>
              <w:spacing w:line="240" w:lineRule="auto"/>
              <w:jc w:val="center"/>
              <w:rPr>
                <w:rFonts w:hint="eastAsia" w:ascii="宋体" w:hAnsi="宋体" w:eastAsia="宋体" w:cs="宋体"/>
                <w:b/>
                <w:bCs/>
                <w:color w:val="000000"/>
                <w:sz w:val="21"/>
                <w:szCs w:val="21"/>
                <w:vertAlign w:val="baseline"/>
                <w:lang w:eastAsia="zh-CN"/>
              </w:rPr>
            </w:pPr>
            <w:r>
              <w:rPr>
                <w:rFonts w:hint="eastAsia" w:ascii="宋体" w:hAnsi="宋体" w:eastAsia="宋体" w:cs="宋体"/>
                <w:b/>
                <w:bCs/>
                <w:color w:val="000000"/>
                <w:sz w:val="21"/>
                <w:szCs w:val="21"/>
                <w:lang w:eastAsia="zh-CN"/>
              </w:rPr>
              <w:t>专业</w:t>
            </w:r>
            <w:r>
              <w:rPr>
                <w:rFonts w:hint="eastAsia" w:ascii="宋体" w:hAnsi="宋体" w:eastAsia="宋体" w:cs="宋体"/>
                <w:b/>
                <w:bCs/>
                <w:color w:val="000000"/>
                <w:sz w:val="21"/>
                <w:szCs w:val="21"/>
                <w:lang w:val="en-US" w:eastAsia="zh-CN"/>
              </w:rPr>
              <w:t>/领域</w:t>
            </w:r>
          </w:p>
        </w:tc>
        <w:tc>
          <w:tcPr>
            <w:tcW w:w="588" w:type="dxa"/>
            <w:vMerge w:val="restart"/>
            <w:noWrap w:val="0"/>
            <w:vAlign w:val="center"/>
          </w:tcPr>
          <w:p>
            <w:pPr>
              <w:pStyle w:val="4"/>
              <w:widowControl/>
              <w:spacing w:line="240" w:lineRule="auto"/>
              <w:jc w:val="center"/>
              <w:rPr>
                <w:rFonts w:hint="eastAsia" w:ascii="宋体" w:hAnsi="宋体" w:eastAsia="宋体" w:cs="宋体"/>
                <w:b/>
                <w:bCs/>
                <w:color w:val="000000"/>
                <w:sz w:val="21"/>
                <w:szCs w:val="21"/>
                <w:vertAlign w:val="baseline"/>
                <w:lang w:eastAsia="zh-CN"/>
              </w:rPr>
            </w:pPr>
            <w:r>
              <w:rPr>
                <w:rFonts w:hint="eastAsia" w:ascii="宋体" w:hAnsi="宋体" w:eastAsia="宋体" w:cs="宋体"/>
                <w:b/>
                <w:bCs/>
                <w:color w:val="000000"/>
                <w:sz w:val="21"/>
                <w:szCs w:val="21"/>
                <w:vertAlign w:val="baseline"/>
                <w:lang w:eastAsia="zh-CN"/>
              </w:rPr>
              <w:t>方向</w:t>
            </w:r>
          </w:p>
        </w:tc>
        <w:tc>
          <w:tcPr>
            <w:tcW w:w="2875" w:type="dxa"/>
            <w:vMerge w:val="restart"/>
            <w:noWrap w:val="0"/>
            <w:vAlign w:val="center"/>
          </w:tcPr>
          <w:p>
            <w:pPr>
              <w:pStyle w:val="4"/>
              <w:widowControl/>
              <w:spacing w:line="240" w:lineRule="auto"/>
              <w:jc w:val="center"/>
              <w:rPr>
                <w:rFonts w:hint="eastAsia" w:ascii="宋体" w:hAnsi="宋体" w:eastAsia="宋体" w:cs="宋体"/>
                <w:b/>
                <w:bCs/>
                <w:color w:val="000000"/>
                <w:sz w:val="21"/>
                <w:szCs w:val="21"/>
                <w:vertAlign w:val="baseline"/>
                <w:lang w:eastAsia="zh-CN"/>
              </w:rPr>
            </w:pPr>
            <w:r>
              <w:rPr>
                <w:rFonts w:hint="eastAsia" w:ascii="宋体" w:hAnsi="宋体" w:cs="宋体"/>
                <w:b/>
                <w:bCs/>
                <w:color w:val="000000"/>
                <w:sz w:val="21"/>
                <w:szCs w:val="21"/>
                <w:vertAlign w:val="baseline"/>
                <w:lang w:eastAsia="zh-CN"/>
              </w:rPr>
              <w:t>专业主科考试</w:t>
            </w:r>
          </w:p>
        </w:tc>
        <w:tc>
          <w:tcPr>
            <w:tcW w:w="3137" w:type="dxa"/>
            <w:vMerge w:val="restart"/>
            <w:noWrap w:val="0"/>
            <w:vAlign w:val="center"/>
          </w:tcPr>
          <w:p>
            <w:pPr>
              <w:pStyle w:val="4"/>
              <w:widowControl/>
              <w:spacing w:line="240" w:lineRule="auto"/>
              <w:jc w:val="center"/>
              <w:rPr>
                <w:rFonts w:hint="eastAsia" w:ascii="宋体" w:hAnsi="宋体" w:eastAsia="宋体" w:cs="宋体"/>
                <w:b/>
                <w:bCs/>
                <w:color w:val="000000"/>
                <w:sz w:val="21"/>
                <w:szCs w:val="21"/>
                <w:vertAlign w:val="baseline"/>
                <w:lang w:eastAsia="zh-CN"/>
              </w:rPr>
            </w:pPr>
            <w:r>
              <w:rPr>
                <w:rFonts w:hint="eastAsia" w:ascii="宋体" w:hAnsi="宋体" w:cs="宋体"/>
                <w:b/>
                <w:bCs/>
                <w:color w:val="000000"/>
                <w:sz w:val="21"/>
                <w:szCs w:val="21"/>
                <w:vertAlign w:val="baseline"/>
                <w:lang w:eastAsia="zh-CN"/>
              </w:rPr>
              <w:t>面试（综合素质）</w:t>
            </w:r>
          </w:p>
        </w:tc>
        <w:tc>
          <w:tcPr>
            <w:tcW w:w="540" w:type="dxa"/>
            <w:vMerge w:val="restart"/>
            <w:noWrap w:val="0"/>
            <w:vAlign w:val="center"/>
          </w:tcPr>
          <w:p>
            <w:pPr>
              <w:pStyle w:val="4"/>
              <w:widowControl/>
              <w:spacing w:line="240" w:lineRule="auto"/>
              <w:jc w:val="center"/>
              <w:rPr>
                <w:rFonts w:hint="eastAsia" w:ascii="宋体" w:hAnsi="宋体" w:cs="宋体"/>
                <w:b/>
                <w:bCs/>
                <w:color w:val="000000"/>
                <w:sz w:val="21"/>
                <w:szCs w:val="21"/>
                <w:vertAlign w:val="baseline"/>
                <w:lang w:eastAsia="zh-CN"/>
              </w:rPr>
            </w:pPr>
            <w:r>
              <w:rPr>
                <w:rFonts w:hint="eastAsia" w:ascii="宋体" w:hAnsi="宋体" w:cs="宋体"/>
                <w:b/>
                <w:bCs/>
                <w:color w:val="000000"/>
                <w:sz w:val="21"/>
                <w:szCs w:val="21"/>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atLeast"/>
          <w:jc w:val="center"/>
        </w:trPr>
        <w:tc>
          <w:tcPr>
            <w:tcW w:w="1340" w:type="dxa"/>
            <w:vMerge w:val="continue"/>
            <w:noWrap w:val="0"/>
            <w:vAlign w:val="center"/>
          </w:tcPr>
          <w:p>
            <w:pPr>
              <w:pStyle w:val="4"/>
              <w:widowControl/>
              <w:spacing w:line="240" w:lineRule="auto"/>
              <w:jc w:val="center"/>
              <w:rPr>
                <w:rFonts w:hint="eastAsia" w:ascii="宋体" w:hAnsi="宋体" w:eastAsia="宋体" w:cs="宋体"/>
                <w:color w:val="000000"/>
                <w:sz w:val="21"/>
                <w:szCs w:val="21"/>
                <w:vertAlign w:val="baseline"/>
                <w:lang w:eastAsia="zh-CN"/>
              </w:rPr>
            </w:pPr>
          </w:p>
        </w:tc>
        <w:tc>
          <w:tcPr>
            <w:tcW w:w="588" w:type="dxa"/>
            <w:vMerge w:val="continue"/>
            <w:noWrap w:val="0"/>
            <w:vAlign w:val="center"/>
          </w:tcPr>
          <w:p>
            <w:pPr>
              <w:pStyle w:val="4"/>
              <w:widowControl/>
              <w:spacing w:line="240" w:lineRule="auto"/>
              <w:jc w:val="center"/>
              <w:rPr>
                <w:rFonts w:hint="eastAsia" w:ascii="宋体" w:hAnsi="宋体" w:eastAsia="宋体" w:cs="宋体"/>
                <w:color w:val="000000"/>
                <w:sz w:val="21"/>
                <w:szCs w:val="21"/>
                <w:vertAlign w:val="baseline"/>
              </w:rPr>
            </w:pPr>
          </w:p>
        </w:tc>
        <w:tc>
          <w:tcPr>
            <w:tcW w:w="2875" w:type="dxa"/>
            <w:vMerge w:val="continue"/>
            <w:noWrap w:val="0"/>
            <w:vAlign w:val="top"/>
          </w:tcPr>
          <w:p>
            <w:pPr>
              <w:pStyle w:val="4"/>
              <w:widowControl/>
              <w:spacing w:line="240" w:lineRule="auto"/>
              <w:jc w:val="center"/>
              <w:rPr>
                <w:rFonts w:hint="eastAsia" w:ascii="宋体" w:hAnsi="宋体"/>
                <w:b/>
                <w:bCs/>
                <w:sz w:val="21"/>
                <w:szCs w:val="21"/>
                <w:lang w:eastAsia="zh-CN"/>
              </w:rPr>
            </w:pPr>
          </w:p>
        </w:tc>
        <w:tc>
          <w:tcPr>
            <w:tcW w:w="3137" w:type="dxa"/>
            <w:vMerge w:val="continue"/>
            <w:noWrap w:val="0"/>
            <w:vAlign w:val="top"/>
          </w:tcPr>
          <w:p>
            <w:pPr>
              <w:pStyle w:val="4"/>
              <w:widowControl/>
              <w:spacing w:line="240" w:lineRule="auto"/>
              <w:jc w:val="both"/>
              <w:rPr>
                <w:rFonts w:hint="eastAsia" w:ascii="宋体" w:hAnsi="宋体" w:eastAsia="宋体" w:cs="宋体"/>
                <w:color w:val="000000"/>
                <w:sz w:val="21"/>
                <w:szCs w:val="21"/>
                <w:vertAlign w:val="baseline"/>
                <w:lang w:eastAsia="zh-CN"/>
              </w:rPr>
            </w:pPr>
          </w:p>
        </w:tc>
        <w:tc>
          <w:tcPr>
            <w:tcW w:w="540" w:type="dxa"/>
            <w:vMerge w:val="continue"/>
            <w:noWrap w:val="0"/>
            <w:vAlign w:val="center"/>
          </w:tcPr>
          <w:p>
            <w:pPr>
              <w:pStyle w:val="4"/>
              <w:widowControl/>
              <w:spacing w:line="240" w:lineRule="auto"/>
              <w:jc w:val="center"/>
              <w:rPr>
                <w:rFonts w:hint="eastAsia" w:ascii="宋体" w:hAnsi="宋体"/>
                <w:b/>
                <w:bCs/>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1340" w:type="dxa"/>
            <w:noWrap w:val="0"/>
            <w:vAlign w:val="center"/>
          </w:tcPr>
          <w:p>
            <w:pPr>
              <w:pStyle w:val="4"/>
              <w:widowControl/>
              <w:spacing w:line="240" w:lineRule="auto"/>
              <w:jc w:val="center"/>
              <w:rPr>
                <w:rFonts w:hint="eastAsia" w:ascii="宋体" w:hAnsi="宋体" w:eastAsia="宋体" w:cs="宋体"/>
                <w:color w:val="000000"/>
                <w:sz w:val="18"/>
                <w:szCs w:val="18"/>
                <w:vertAlign w:val="baseline"/>
                <w:lang w:eastAsia="zh-CN"/>
              </w:rPr>
            </w:pPr>
            <w:r>
              <w:rPr>
                <w:rFonts w:hint="eastAsia" w:ascii="宋体" w:hAnsi="宋体" w:eastAsia="宋体" w:cs="宋体"/>
                <w:color w:val="000000"/>
                <w:sz w:val="18"/>
                <w:szCs w:val="18"/>
                <w:vertAlign w:val="baseline"/>
                <w:lang w:eastAsia="zh-CN"/>
              </w:rPr>
              <w:t>中国少数民族艺术（音乐）</w:t>
            </w:r>
          </w:p>
        </w:tc>
        <w:tc>
          <w:tcPr>
            <w:tcW w:w="588" w:type="dxa"/>
            <w:noWrap w:val="0"/>
            <w:vAlign w:val="center"/>
          </w:tcPr>
          <w:p>
            <w:pPr>
              <w:pStyle w:val="4"/>
              <w:widowControl/>
              <w:spacing w:line="240" w:lineRule="auto"/>
              <w:jc w:val="both"/>
              <w:rPr>
                <w:rFonts w:hint="eastAsia" w:ascii="宋体" w:hAnsi="宋体" w:eastAsia="宋体" w:cs="宋体"/>
                <w:color w:val="000000"/>
                <w:sz w:val="18"/>
                <w:szCs w:val="18"/>
                <w:vertAlign w:val="baseline"/>
                <w:lang w:val="en-US" w:eastAsia="zh-CN"/>
              </w:rPr>
            </w:pPr>
          </w:p>
        </w:tc>
        <w:tc>
          <w:tcPr>
            <w:tcW w:w="2875" w:type="dxa"/>
            <w:noWrap w:val="0"/>
            <w:vAlign w:val="center"/>
          </w:tcPr>
          <w:p>
            <w:pPr>
              <w:keepNext w:val="0"/>
              <w:keepLines w:val="0"/>
              <w:pageBreakBefore w:val="0"/>
              <w:widowControl w:val="0"/>
              <w:kinsoku/>
              <w:wordWrap/>
              <w:overflowPunct/>
              <w:topLinePunct w:val="0"/>
              <w:autoSpaceDE/>
              <w:autoSpaceDN/>
              <w:bidi w:val="0"/>
              <w:spacing w:line="240" w:lineRule="auto"/>
              <w:jc w:val="both"/>
              <w:textAlignment w:val="auto"/>
              <w:outlineLvl w:val="9"/>
              <w:rPr>
                <w:rFonts w:hint="eastAsia" w:ascii="宋体" w:hAnsi="宋体" w:eastAsia="宋体"/>
                <w:sz w:val="18"/>
                <w:szCs w:val="18"/>
                <w:lang w:eastAsia="zh-CN"/>
              </w:rPr>
            </w:pPr>
            <w:r>
              <w:rPr>
                <w:rFonts w:hint="eastAsia" w:ascii="宋体" w:hAnsi="宋体"/>
                <w:b/>
                <w:bCs/>
                <w:sz w:val="18"/>
                <w:szCs w:val="18"/>
                <w:lang w:eastAsia="zh-CN"/>
              </w:rPr>
              <w:t>笔试</w:t>
            </w:r>
            <w:r>
              <w:rPr>
                <w:rFonts w:hint="eastAsia" w:ascii="宋体" w:hAnsi="宋体"/>
                <w:sz w:val="18"/>
                <w:szCs w:val="18"/>
                <w:lang w:eastAsia="zh-CN"/>
              </w:rPr>
              <w:t>：</w:t>
            </w:r>
            <w:r>
              <w:rPr>
                <w:rFonts w:hint="eastAsia" w:ascii="宋体" w:hAnsi="宋体"/>
                <w:sz w:val="18"/>
                <w:szCs w:val="18"/>
              </w:rPr>
              <w:t>中西音乐史</w:t>
            </w:r>
            <w:r>
              <w:rPr>
                <w:rFonts w:hint="eastAsia" w:ascii="宋体" w:hAnsi="宋体"/>
                <w:sz w:val="18"/>
                <w:szCs w:val="18"/>
                <w:lang w:eastAsia="zh-CN"/>
              </w:rPr>
              <w:t>（</w:t>
            </w:r>
            <w:r>
              <w:rPr>
                <w:rFonts w:hint="eastAsia" w:ascii="宋体" w:hAnsi="宋体"/>
                <w:sz w:val="18"/>
                <w:szCs w:val="18"/>
                <w:lang w:val="en-US" w:eastAsia="zh-CN"/>
              </w:rPr>
              <w:t>2小时</w:t>
            </w:r>
            <w:r>
              <w:rPr>
                <w:rFonts w:hint="eastAsia" w:ascii="宋体" w:hAnsi="宋体"/>
                <w:sz w:val="18"/>
                <w:szCs w:val="18"/>
                <w:lang w:eastAsia="zh-CN"/>
              </w:rPr>
              <w:t>）</w:t>
            </w:r>
          </w:p>
        </w:tc>
        <w:tc>
          <w:tcPr>
            <w:tcW w:w="3137" w:type="dxa"/>
            <w:vMerge w:val="restart"/>
            <w:noWrap w:val="0"/>
            <w:vAlign w:val="top"/>
          </w:tcPr>
          <w:p>
            <w:pPr>
              <w:keepNext w:val="0"/>
              <w:keepLines w:val="0"/>
              <w:pageBreakBefore w:val="0"/>
              <w:widowControl w:val="0"/>
              <w:kinsoku/>
              <w:wordWrap/>
              <w:overflowPunct/>
              <w:topLinePunct w:val="0"/>
              <w:autoSpaceDE/>
              <w:autoSpaceDN/>
              <w:bidi w:val="0"/>
              <w:spacing w:line="240" w:lineRule="auto"/>
              <w:jc w:val="both"/>
              <w:textAlignment w:val="auto"/>
              <w:outlineLvl w:val="9"/>
              <w:rPr>
                <w:rFonts w:hint="eastAsia" w:ascii="宋体" w:hAnsi="宋体" w:cs="宋体"/>
                <w:b w:val="0"/>
                <w:bCs w:val="0"/>
                <w:color w:val="auto"/>
                <w:sz w:val="18"/>
                <w:szCs w:val="18"/>
                <w:u w:val="none"/>
                <w:lang w:val="en-US" w:eastAsia="zh-CN"/>
              </w:rPr>
            </w:pPr>
            <w:r>
              <w:rPr>
                <w:rFonts w:hint="eastAsia" w:ascii="宋体" w:hAnsi="宋体" w:eastAsia="宋体" w:cs="宋体"/>
                <w:b w:val="0"/>
                <w:bCs w:val="0"/>
                <w:color w:val="auto"/>
                <w:sz w:val="18"/>
                <w:szCs w:val="18"/>
                <w:u w:val="none"/>
                <w:lang w:val="en-US" w:eastAsia="zh-CN"/>
              </w:rPr>
              <w:t>1.专业理论知识测试</w:t>
            </w:r>
            <w:r>
              <w:rPr>
                <w:rFonts w:hint="eastAsia" w:ascii="宋体" w:hAnsi="宋体" w:cs="宋体"/>
                <w:b w:val="0"/>
                <w:bCs w:val="0"/>
                <w:color w:val="auto"/>
                <w:sz w:val="18"/>
                <w:szCs w:val="18"/>
                <w:u w:val="none"/>
                <w:lang w:val="en-US" w:eastAsia="zh-CN"/>
              </w:rPr>
              <w:t>（</w:t>
            </w:r>
            <w:r>
              <w:rPr>
                <w:rFonts w:hint="eastAsia" w:ascii="宋体" w:hAnsi="宋体" w:eastAsia="宋体" w:cs="宋体"/>
                <w:color w:val="000000"/>
                <w:sz w:val="18"/>
                <w:szCs w:val="18"/>
              </w:rPr>
              <w:t>试题事先命制、装袋，考生现场抽题回答</w:t>
            </w:r>
            <w:r>
              <w:rPr>
                <w:rFonts w:hint="eastAsia" w:ascii="宋体" w:hAnsi="宋体" w:cs="宋体"/>
                <w:b w:val="0"/>
                <w:bCs w:val="0"/>
                <w:color w:val="auto"/>
                <w:sz w:val="18"/>
                <w:szCs w:val="18"/>
                <w:u w:val="none"/>
                <w:lang w:val="en-US" w:eastAsia="zh-CN"/>
              </w:rPr>
              <w:t>）；</w:t>
            </w:r>
          </w:p>
          <w:p>
            <w:pPr>
              <w:keepNext w:val="0"/>
              <w:keepLines w:val="0"/>
              <w:pageBreakBefore w:val="0"/>
              <w:widowControl w:val="0"/>
              <w:kinsoku/>
              <w:wordWrap/>
              <w:overflowPunct/>
              <w:topLinePunct w:val="0"/>
              <w:autoSpaceDE/>
              <w:autoSpaceDN/>
              <w:bidi w:val="0"/>
              <w:spacing w:line="240" w:lineRule="auto"/>
              <w:jc w:val="both"/>
              <w:textAlignment w:val="auto"/>
              <w:outlineLvl w:val="9"/>
              <w:rPr>
                <w:rFonts w:hint="eastAsia" w:ascii="宋体" w:hAnsi="宋体" w:eastAsia="宋体" w:cs="宋体"/>
                <w:b w:val="0"/>
                <w:bCs w:val="0"/>
                <w:color w:val="auto"/>
                <w:sz w:val="18"/>
                <w:szCs w:val="18"/>
                <w:u w:val="none"/>
                <w:lang w:val="en-US" w:eastAsia="zh-CN"/>
              </w:rPr>
            </w:pPr>
            <w:r>
              <w:rPr>
                <w:rFonts w:hint="eastAsia" w:ascii="宋体" w:hAnsi="宋体" w:cs="宋体"/>
                <w:b w:val="0"/>
                <w:bCs w:val="0"/>
                <w:color w:val="auto"/>
                <w:sz w:val="18"/>
                <w:szCs w:val="18"/>
                <w:u w:val="none"/>
                <w:lang w:val="en-US" w:eastAsia="zh-CN"/>
              </w:rPr>
              <w:t>2.</w:t>
            </w:r>
            <w:r>
              <w:rPr>
                <w:rFonts w:hint="eastAsia" w:ascii="宋体" w:hAnsi="宋体" w:eastAsia="宋体" w:cs="宋体"/>
                <w:b w:val="0"/>
                <w:bCs w:val="0"/>
                <w:color w:val="auto"/>
                <w:sz w:val="18"/>
                <w:szCs w:val="18"/>
                <w:u w:val="none"/>
                <w:lang w:val="en-US" w:eastAsia="zh-CN"/>
              </w:rPr>
              <w:t>个人艺术实践成果汇报。</w:t>
            </w:r>
          </w:p>
          <w:p>
            <w:pPr>
              <w:keepNext w:val="0"/>
              <w:keepLines w:val="0"/>
              <w:pageBreakBefore w:val="0"/>
              <w:kinsoku/>
              <w:wordWrap/>
              <w:overflowPunct/>
              <w:topLinePunct w:val="0"/>
              <w:autoSpaceDE/>
              <w:autoSpaceDN/>
              <w:bidi w:val="0"/>
              <w:adjustRightInd/>
              <w:snapToGrid/>
              <w:spacing w:line="300" w:lineRule="exact"/>
              <w:ind w:left="0" w:leftChars="0" w:firstLine="0" w:firstLineChars="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b w:val="0"/>
                <w:bCs w:val="0"/>
                <w:color w:val="auto"/>
                <w:sz w:val="18"/>
                <w:szCs w:val="18"/>
                <w:u w:val="none"/>
                <w:lang w:val="en-US" w:eastAsia="zh-CN"/>
              </w:rPr>
              <w:t>作曲方向还须提交创作作品乐谱，并加试</w:t>
            </w:r>
            <w:r>
              <w:rPr>
                <w:rFonts w:hint="eastAsia" w:ascii="宋体" w:hAnsi="宋体" w:eastAsia="宋体" w:cs="宋体"/>
                <w:color w:val="auto"/>
                <w:sz w:val="18"/>
                <w:szCs w:val="18"/>
                <w:lang w:val="en-US" w:eastAsia="zh-CN"/>
              </w:rPr>
              <w:t>器乐演奏（1首作品）。</w:t>
            </w:r>
          </w:p>
          <w:p>
            <w:pPr>
              <w:keepNext w:val="0"/>
              <w:keepLines w:val="0"/>
              <w:pageBreakBefore w:val="0"/>
              <w:widowControl w:val="0"/>
              <w:kinsoku/>
              <w:wordWrap/>
              <w:overflowPunct/>
              <w:topLinePunct w:val="0"/>
              <w:autoSpaceDE/>
              <w:autoSpaceDN/>
              <w:bidi w:val="0"/>
              <w:spacing w:line="240" w:lineRule="auto"/>
              <w:jc w:val="both"/>
              <w:textAlignment w:val="auto"/>
              <w:outlineLvl w:val="9"/>
              <w:rPr>
                <w:rFonts w:hint="eastAsia" w:ascii="宋体" w:hAnsi="宋体" w:eastAsia="宋体" w:cs="宋体"/>
                <w:color w:val="auto"/>
                <w:sz w:val="18"/>
                <w:szCs w:val="18"/>
                <w:vertAlign w:val="baseline"/>
                <w:lang w:eastAsia="zh-CN"/>
              </w:rPr>
            </w:pPr>
            <w:r>
              <w:rPr>
                <w:rFonts w:hint="eastAsia" w:ascii="宋体" w:hAnsi="宋体" w:cs="宋体"/>
                <w:b w:val="0"/>
                <w:bCs w:val="0"/>
                <w:color w:val="auto"/>
                <w:sz w:val="18"/>
                <w:szCs w:val="18"/>
                <w:u w:val="none"/>
                <w:lang w:val="en-US" w:eastAsia="zh-CN"/>
              </w:rPr>
              <w:t>中国少数民族艺术专业还须加试</w:t>
            </w:r>
            <w:r>
              <w:rPr>
                <w:rFonts w:hint="eastAsia" w:ascii="宋体" w:hAnsi="宋体" w:eastAsia="宋体" w:cs="宋体"/>
                <w:color w:val="auto"/>
                <w:sz w:val="18"/>
                <w:szCs w:val="18"/>
              </w:rPr>
              <w:t>器乐演奏或声乐演唱（1首作品）。</w:t>
            </w:r>
          </w:p>
        </w:tc>
        <w:tc>
          <w:tcPr>
            <w:tcW w:w="540" w:type="dxa"/>
            <w:vMerge w:val="restart"/>
            <w:noWrap w:val="0"/>
            <w:vAlign w:val="center"/>
          </w:tcPr>
          <w:p>
            <w:pPr>
              <w:pStyle w:val="4"/>
              <w:widowControl/>
              <w:spacing w:line="240" w:lineRule="auto"/>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伴奏自备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1340" w:type="dxa"/>
            <w:vMerge w:val="restart"/>
            <w:noWrap w:val="0"/>
            <w:vAlign w:val="center"/>
          </w:tcPr>
          <w:p>
            <w:pPr>
              <w:pStyle w:val="4"/>
              <w:widowControl/>
              <w:spacing w:line="240" w:lineRule="auto"/>
              <w:jc w:val="center"/>
              <w:rPr>
                <w:rFonts w:hint="eastAsia" w:ascii="宋体" w:hAnsi="宋体" w:eastAsia="宋体" w:cs="宋体"/>
                <w:color w:val="000000"/>
                <w:sz w:val="18"/>
                <w:szCs w:val="18"/>
                <w:vertAlign w:val="baseline"/>
                <w:lang w:eastAsia="zh-CN"/>
              </w:rPr>
            </w:pPr>
            <w:r>
              <w:rPr>
                <w:rFonts w:hint="eastAsia" w:ascii="宋体" w:hAnsi="宋体" w:eastAsia="宋体" w:cs="宋体"/>
                <w:color w:val="000000"/>
                <w:sz w:val="18"/>
                <w:szCs w:val="18"/>
                <w:vertAlign w:val="baseline"/>
                <w:lang w:eastAsia="zh-CN"/>
              </w:rPr>
              <w:t>音乐</w:t>
            </w:r>
          </w:p>
        </w:tc>
        <w:tc>
          <w:tcPr>
            <w:tcW w:w="588" w:type="dxa"/>
            <w:noWrap w:val="0"/>
            <w:vAlign w:val="center"/>
          </w:tcPr>
          <w:p>
            <w:pPr>
              <w:pStyle w:val="4"/>
              <w:widowControl/>
              <w:spacing w:line="240" w:lineRule="auto"/>
              <w:jc w:val="center"/>
              <w:rPr>
                <w:rFonts w:hint="eastAsia" w:ascii="宋体" w:hAnsi="宋体" w:eastAsia="宋体" w:cs="宋体"/>
                <w:color w:val="000000"/>
                <w:sz w:val="18"/>
                <w:szCs w:val="18"/>
                <w:vertAlign w:val="baseline"/>
                <w:lang w:eastAsia="zh-CN"/>
              </w:rPr>
            </w:pPr>
            <w:r>
              <w:rPr>
                <w:rFonts w:hint="eastAsia" w:ascii="宋体" w:hAnsi="宋体" w:eastAsia="宋体" w:cs="宋体"/>
                <w:color w:val="000000"/>
                <w:sz w:val="18"/>
                <w:szCs w:val="18"/>
                <w:vertAlign w:val="baseline"/>
                <w:lang w:eastAsia="zh-CN"/>
              </w:rPr>
              <w:t>作曲</w:t>
            </w:r>
          </w:p>
        </w:tc>
        <w:tc>
          <w:tcPr>
            <w:tcW w:w="2875" w:type="dxa"/>
            <w:noWrap w:val="0"/>
            <w:vAlign w:val="top"/>
          </w:tcPr>
          <w:p>
            <w:pPr>
              <w:pStyle w:val="4"/>
              <w:widowControl/>
              <w:spacing w:line="240" w:lineRule="auto"/>
              <w:jc w:val="both"/>
              <w:rPr>
                <w:rFonts w:hint="eastAsia" w:ascii="宋体" w:hAnsi="宋体" w:cs="宋体"/>
                <w:color w:val="000000"/>
                <w:sz w:val="18"/>
                <w:szCs w:val="18"/>
                <w:vertAlign w:val="baseline"/>
                <w:lang w:eastAsia="zh-CN"/>
              </w:rPr>
            </w:pPr>
            <w:r>
              <w:rPr>
                <w:rFonts w:hint="eastAsia"/>
                <w:b/>
                <w:bCs/>
                <w:color w:val="000000"/>
                <w:sz w:val="18"/>
                <w:szCs w:val="18"/>
                <w:lang w:val="en-US" w:eastAsia="zh-CN"/>
              </w:rPr>
              <w:t>笔试</w:t>
            </w:r>
            <w:r>
              <w:rPr>
                <w:rFonts w:hint="eastAsia"/>
                <w:b w:val="0"/>
                <w:bCs w:val="0"/>
                <w:color w:val="000000"/>
                <w:sz w:val="18"/>
                <w:szCs w:val="18"/>
                <w:lang w:val="en-US" w:eastAsia="zh-CN"/>
              </w:rPr>
              <w:t>：作曲与作曲技术理论综合（2小时）</w:t>
            </w:r>
          </w:p>
        </w:tc>
        <w:tc>
          <w:tcPr>
            <w:tcW w:w="3137" w:type="dxa"/>
            <w:vMerge w:val="continue"/>
            <w:noWrap w:val="0"/>
            <w:vAlign w:val="top"/>
          </w:tcPr>
          <w:p>
            <w:pPr>
              <w:pStyle w:val="4"/>
              <w:widowControl/>
              <w:spacing w:line="240" w:lineRule="auto"/>
              <w:jc w:val="both"/>
              <w:rPr>
                <w:rFonts w:hint="eastAsia" w:ascii="宋体" w:hAnsi="宋体" w:eastAsia="宋体" w:cs="宋体"/>
                <w:color w:val="auto"/>
                <w:sz w:val="18"/>
                <w:szCs w:val="18"/>
                <w:vertAlign w:val="baseline"/>
                <w:lang w:eastAsia="zh-CN"/>
              </w:rPr>
            </w:pPr>
          </w:p>
        </w:tc>
        <w:tc>
          <w:tcPr>
            <w:tcW w:w="540" w:type="dxa"/>
            <w:vMerge w:val="continue"/>
            <w:noWrap w:val="0"/>
            <w:vAlign w:val="top"/>
          </w:tcPr>
          <w:p>
            <w:pPr>
              <w:pStyle w:val="4"/>
              <w:widowControl/>
              <w:spacing w:line="240" w:lineRule="auto"/>
              <w:jc w:val="both"/>
              <w:rPr>
                <w:rFonts w:hint="eastAsia" w:ascii="宋体" w:hAnsi="宋体" w:cs="宋体"/>
                <w:color w:val="00000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1340" w:type="dxa"/>
            <w:vMerge w:val="continue"/>
            <w:noWrap w:val="0"/>
            <w:vAlign w:val="center"/>
          </w:tcPr>
          <w:p>
            <w:pPr>
              <w:pStyle w:val="4"/>
              <w:widowControl/>
              <w:spacing w:line="240" w:lineRule="auto"/>
              <w:jc w:val="center"/>
              <w:rPr>
                <w:rFonts w:hint="eastAsia" w:ascii="宋体" w:hAnsi="宋体" w:eastAsia="宋体" w:cs="宋体"/>
                <w:color w:val="000000"/>
                <w:sz w:val="18"/>
                <w:szCs w:val="18"/>
                <w:vertAlign w:val="baseline"/>
                <w:lang w:eastAsia="zh-CN"/>
              </w:rPr>
            </w:pPr>
          </w:p>
        </w:tc>
        <w:tc>
          <w:tcPr>
            <w:tcW w:w="588" w:type="dxa"/>
            <w:noWrap w:val="0"/>
            <w:vAlign w:val="center"/>
          </w:tcPr>
          <w:p>
            <w:pPr>
              <w:pStyle w:val="4"/>
              <w:widowControl/>
              <w:spacing w:line="240" w:lineRule="auto"/>
              <w:jc w:val="center"/>
              <w:rPr>
                <w:rFonts w:hint="eastAsia" w:ascii="宋体" w:hAnsi="宋体" w:eastAsia="宋体" w:cs="宋体"/>
                <w:color w:val="000000"/>
                <w:sz w:val="18"/>
                <w:szCs w:val="18"/>
                <w:vertAlign w:val="baseline"/>
                <w:lang w:eastAsia="zh-CN"/>
              </w:rPr>
            </w:pPr>
            <w:r>
              <w:rPr>
                <w:rFonts w:hint="eastAsia" w:ascii="宋体" w:hAnsi="宋体" w:eastAsia="宋体" w:cs="宋体"/>
                <w:color w:val="000000"/>
                <w:sz w:val="18"/>
                <w:szCs w:val="18"/>
                <w:vertAlign w:val="baseline"/>
                <w:lang w:eastAsia="zh-CN"/>
              </w:rPr>
              <w:t>音乐</w:t>
            </w:r>
          </w:p>
          <w:p>
            <w:pPr>
              <w:pStyle w:val="4"/>
              <w:widowControl/>
              <w:spacing w:line="240" w:lineRule="auto"/>
              <w:jc w:val="center"/>
              <w:rPr>
                <w:rFonts w:hint="eastAsia" w:ascii="宋体" w:hAnsi="宋体" w:eastAsia="宋体" w:cs="宋体"/>
                <w:color w:val="000000"/>
                <w:sz w:val="18"/>
                <w:szCs w:val="18"/>
                <w:vertAlign w:val="baseline"/>
              </w:rPr>
            </w:pPr>
            <w:r>
              <w:rPr>
                <w:rFonts w:hint="eastAsia" w:ascii="宋体" w:hAnsi="宋体" w:eastAsia="宋体" w:cs="宋体"/>
                <w:color w:val="000000"/>
                <w:sz w:val="18"/>
                <w:szCs w:val="18"/>
                <w:vertAlign w:val="baseline"/>
                <w:lang w:eastAsia="zh-CN"/>
              </w:rPr>
              <w:t>表演</w:t>
            </w:r>
          </w:p>
        </w:tc>
        <w:tc>
          <w:tcPr>
            <w:tcW w:w="2875" w:type="dxa"/>
            <w:noWrap w:val="0"/>
            <w:vAlign w:val="top"/>
          </w:tcPr>
          <w:p>
            <w:pPr>
              <w:keepNext w:val="0"/>
              <w:keepLines w:val="0"/>
              <w:pageBreakBefore w:val="0"/>
              <w:widowControl w:val="0"/>
              <w:kinsoku/>
              <w:wordWrap/>
              <w:overflowPunct/>
              <w:topLinePunct w:val="0"/>
              <w:autoSpaceDE/>
              <w:autoSpaceDN/>
              <w:bidi w:val="0"/>
              <w:spacing w:line="240" w:lineRule="auto"/>
              <w:jc w:val="both"/>
              <w:textAlignment w:val="auto"/>
              <w:outlineLvl w:val="9"/>
              <w:rPr>
                <w:rFonts w:hint="eastAsia" w:ascii="宋体" w:hAnsi="宋体" w:eastAsia="宋体" w:cs="宋体"/>
                <w:b w:val="0"/>
                <w:bCs w:val="0"/>
                <w:color w:val="auto"/>
                <w:sz w:val="18"/>
                <w:szCs w:val="18"/>
                <w:lang w:val="en-US" w:eastAsia="zh-CN"/>
              </w:rPr>
            </w:pPr>
            <w:r>
              <w:rPr>
                <w:rFonts w:hint="eastAsia" w:ascii="宋体" w:hAnsi="宋体" w:eastAsia="宋体" w:cs="宋体"/>
                <w:b/>
                <w:bCs/>
                <w:color w:val="auto"/>
                <w:sz w:val="18"/>
                <w:szCs w:val="18"/>
                <w:lang w:val="en-US" w:eastAsia="zh-CN"/>
              </w:rPr>
              <w:t>表演考试</w:t>
            </w:r>
            <w:r>
              <w:rPr>
                <w:rFonts w:hint="eastAsia" w:ascii="宋体" w:hAnsi="宋体" w:eastAsia="宋体" w:cs="宋体"/>
                <w:b w:val="0"/>
                <w:bCs w:val="0"/>
                <w:color w:val="auto"/>
                <w:sz w:val="18"/>
                <w:szCs w:val="18"/>
                <w:lang w:val="en-US" w:eastAsia="zh-CN"/>
              </w:rPr>
              <w:t>：作品表演</w:t>
            </w:r>
          </w:p>
          <w:p>
            <w:pPr>
              <w:keepNext w:val="0"/>
              <w:keepLines w:val="0"/>
              <w:pageBreakBefore w:val="0"/>
              <w:widowControl w:val="0"/>
              <w:kinsoku/>
              <w:wordWrap/>
              <w:overflowPunct/>
              <w:topLinePunct w:val="0"/>
              <w:autoSpaceDE/>
              <w:autoSpaceDN/>
              <w:bidi w:val="0"/>
              <w:spacing w:line="240" w:lineRule="auto"/>
              <w:jc w:val="both"/>
              <w:textAlignment w:val="auto"/>
              <w:outlineLvl w:val="9"/>
              <w:rPr>
                <w:rFonts w:hint="eastAsia" w:ascii="宋体" w:hAnsi="宋体" w:eastAsia="宋体" w:cs="宋体"/>
                <w:b w:val="0"/>
                <w:bCs w:val="0"/>
                <w:color w:val="auto"/>
                <w:sz w:val="18"/>
                <w:szCs w:val="18"/>
                <w:lang w:val="en-US" w:eastAsia="zh-CN"/>
              </w:rPr>
            </w:pPr>
            <w:r>
              <w:rPr>
                <w:rFonts w:hint="eastAsia" w:ascii="宋体" w:hAnsi="宋体" w:cs="宋体"/>
                <w:b w:val="0"/>
                <w:bCs w:val="0"/>
                <w:color w:val="auto"/>
                <w:sz w:val="18"/>
                <w:szCs w:val="18"/>
                <w:lang w:val="en-US" w:eastAsia="zh-CN"/>
              </w:rPr>
              <w:t>1.</w:t>
            </w:r>
            <w:r>
              <w:rPr>
                <w:rFonts w:hint="eastAsia" w:ascii="宋体" w:hAnsi="宋体" w:eastAsia="宋体" w:cs="宋体"/>
                <w:b w:val="0"/>
                <w:bCs w:val="0"/>
                <w:color w:val="auto"/>
                <w:sz w:val="18"/>
                <w:szCs w:val="18"/>
                <w:lang w:val="en-US" w:eastAsia="zh-CN"/>
              </w:rPr>
              <w:t>演奏方向3首</w:t>
            </w:r>
          </w:p>
          <w:p>
            <w:pPr>
              <w:keepNext w:val="0"/>
              <w:keepLines w:val="0"/>
              <w:pageBreakBefore w:val="0"/>
              <w:widowControl w:val="0"/>
              <w:kinsoku/>
              <w:wordWrap/>
              <w:overflowPunct/>
              <w:topLinePunct w:val="0"/>
              <w:autoSpaceDE/>
              <w:autoSpaceDN/>
              <w:bidi w:val="0"/>
              <w:spacing w:line="240" w:lineRule="auto"/>
              <w:jc w:val="both"/>
              <w:textAlignment w:val="auto"/>
              <w:outlineLvl w:val="9"/>
              <w:rPr>
                <w:rFonts w:hint="eastAsia" w:ascii="宋体" w:hAnsi="宋体" w:eastAsia="宋体" w:cs="宋体"/>
                <w:b w:val="0"/>
                <w:bCs w:val="0"/>
                <w:color w:val="auto"/>
                <w:sz w:val="18"/>
                <w:szCs w:val="18"/>
                <w:lang w:val="en-US" w:eastAsia="zh-CN"/>
              </w:rPr>
            </w:pPr>
            <w:r>
              <w:rPr>
                <w:rFonts w:hint="eastAsia" w:ascii="宋体" w:hAnsi="宋体" w:cs="宋体"/>
                <w:b w:val="0"/>
                <w:bCs w:val="0"/>
                <w:color w:val="auto"/>
                <w:sz w:val="18"/>
                <w:szCs w:val="18"/>
                <w:lang w:val="en-US" w:eastAsia="zh-CN"/>
              </w:rPr>
              <w:t>2.</w:t>
            </w:r>
            <w:r>
              <w:rPr>
                <w:rFonts w:hint="eastAsia" w:ascii="宋体" w:hAnsi="宋体" w:eastAsia="宋体" w:cs="宋体"/>
                <w:b w:val="0"/>
                <w:bCs w:val="0"/>
                <w:color w:val="auto"/>
                <w:sz w:val="18"/>
                <w:szCs w:val="18"/>
                <w:lang w:val="en-US" w:eastAsia="zh-CN"/>
              </w:rPr>
              <w:t>演唱方向4首</w:t>
            </w:r>
          </w:p>
          <w:p>
            <w:pPr>
              <w:keepNext w:val="0"/>
              <w:keepLines w:val="0"/>
              <w:pageBreakBefore w:val="0"/>
              <w:widowControl w:val="0"/>
              <w:kinsoku/>
              <w:wordWrap/>
              <w:overflowPunct/>
              <w:topLinePunct w:val="0"/>
              <w:autoSpaceDE/>
              <w:autoSpaceDN/>
              <w:bidi w:val="0"/>
              <w:spacing w:line="240" w:lineRule="auto"/>
              <w:jc w:val="both"/>
              <w:textAlignment w:val="auto"/>
              <w:outlineLvl w:val="9"/>
              <w:rPr>
                <w:rFonts w:hint="eastAsia" w:ascii="宋体" w:hAnsi="宋体" w:cs="宋体"/>
                <w:b w:val="0"/>
                <w:bCs w:val="0"/>
                <w:color w:val="000000"/>
                <w:sz w:val="18"/>
                <w:szCs w:val="18"/>
                <w:vertAlign w:val="baseline"/>
                <w:lang w:eastAsia="zh-CN"/>
              </w:rPr>
            </w:pPr>
            <w:r>
              <w:rPr>
                <w:rFonts w:hint="eastAsia" w:ascii="宋体" w:hAnsi="宋体" w:cs="宋体"/>
                <w:b w:val="0"/>
                <w:bCs w:val="0"/>
                <w:color w:val="auto"/>
                <w:sz w:val="18"/>
                <w:szCs w:val="18"/>
                <w:lang w:val="en-US" w:eastAsia="zh-CN"/>
              </w:rPr>
              <w:t>3.</w:t>
            </w:r>
            <w:r>
              <w:rPr>
                <w:rFonts w:hint="eastAsia" w:ascii="宋体" w:hAnsi="宋体" w:eastAsia="宋体" w:cs="宋体"/>
                <w:b w:val="0"/>
                <w:bCs w:val="0"/>
                <w:color w:val="auto"/>
                <w:sz w:val="18"/>
                <w:szCs w:val="18"/>
                <w:lang w:val="en-US" w:eastAsia="zh-CN"/>
              </w:rPr>
              <w:t>合唱指挥方向3首（含合唱指挥、声乐、钢琴各1首）</w:t>
            </w:r>
          </w:p>
        </w:tc>
        <w:tc>
          <w:tcPr>
            <w:tcW w:w="3137" w:type="dxa"/>
            <w:vMerge w:val="continue"/>
            <w:noWrap w:val="0"/>
            <w:vAlign w:val="top"/>
          </w:tcPr>
          <w:p>
            <w:pPr>
              <w:keepNext w:val="0"/>
              <w:keepLines w:val="0"/>
              <w:pageBreakBefore w:val="0"/>
              <w:widowControl w:val="0"/>
              <w:kinsoku/>
              <w:wordWrap/>
              <w:overflowPunct/>
              <w:topLinePunct w:val="0"/>
              <w:autoSpaceDE/>
              <w:autoSpaceDN/>
              <w:bidi w:val="0"/>
              <w:spacing w:line="240" w:lineRule="auto"/>
              <w:jc w:val="both"/>
              <w:textAlignment w:val="auto"/>
              <w:outlineLvl w:val="9"/>
              <w:rPr>
                <w:rFonts w:hint="eastAsia" w:ascii="宋体" w:hAnsi="宋体" w:eastAsia="宋体" w:cs="宋体"/>
                <w:color w:val="auto"/>
                <w:sz w:val="18"/>
                <w:szCs w:val="18"/>
                <w:vertAlign w:val="baseline"/>
                <w:lang w:eastAsia="zh-CN"/>
              </w:rPr>
            </w:pPr>
          </w:p>
        </w:tc>
        <w:tc>
          <w:tcPr>
            <w:tcW w:w="540" w:type="dxa"/>
            <w:vMerge w:val="continue"/>
            <w:noWrap w:val="0"/>
            <w:vAlign w:val="top"/>
          </w:tcPr>
          <w:p>
            <w:pPr>
              <w:pStyle w:val="4"/>
              <w:widowControl/>
              <w:spacing w:line="240" w:lineRule="auto"/>
              <w:jc w:val="both"/>
              <w:rPr>
                <w:rFonts w:hint="eastAsia" w:ascii="宋体" w:hAnsi="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1340" w:type="dxa"/>
            <w:noWrap w:val="0"/>
            <w:vAlign w:val="center"/>
          </w:tcPr>
          <w:p>
            <w:pPr>
              <w:pStyle w:val="4"/>
              <w:widowControl/>
              <w:spacing w:line="240" w:lineRule="auto"/>
              <w:jc w:val="center"/>
              <w:rPr>
                <w:rFonts w:hint="eastAsia" w:ascii="宋体" w:hAnsi="宋体" w:eastAsia="宋体" w:cs="宋体"/>
                <w:color w:val="000000"/>
                <w:sz w:val="18"/>
                <w:szCs w:val="18"/>
                <w:vertAlign w:val="baseline"/>
                <w:lang w:eastAsia="zh-CN"/>
              </w:rPr>
            </w:pPr>
            <w:r>
              <w:rPr>
                <w:rFonts w:hint="eastAsia" w:ascii="宋体" w:hAnsi="宋体" w:eastAsia="宋体" w:cs="宋体"/>
                <w:color w:val="000000"/>
                <w:sz w:val="18"/>
                <w:szCs w:val="18"/>
                <w:vertAlign w:val="baseline"/>
                <w:lang w:eastAsia="zh-CN"/>
              </w:rPr>
              <w:t>舞蹈</w:t>
            </w:r>
          </w:p>
        </w:tc>
        <w:tc>
          <w:tcPr>
            <w:tcW w:w="588" w:type="dxa"/>
            <w:noWrap w:val="0"/>
            <w:vAlign w:val="center"/>
          </w:tcPr>
          <w:p>
            <w:pPr>
              <w:pStyle w:val="4"/>
              <w:widowControl/>
              <w:spacing w:line="240" w:lineRule="auto"/>
              <w:jc w:val="center"/>
              <w:rPr>
                <w:rFonts w:hint="eastAsia" w:ascii="宋体" w:hAnsi="宋体" w:eastAsia="宋体" w:cs="宋体"/>
                <w:color w:val="000000"/>
                <w:sz w:val="18"/>
                <w:szCs w:val="18"/>
                <w:vertAlign w:val="baseline"/>
                <w:lang w:eastAsia="zh-CN"/>
              </w:rPr>
            </w:pPr>
            <w:r>
              <w:rPr>
                <w:rFonts w:hint="eastAsia" w:ascii="宋体" w:hAnsi="宋体" w:cs="宋体"/>
                <w:color w:val="000000"/>
                <w:sz w:val="18"/>
                <w:szCs w:val="18"/>
                <w:vertAlign w:val="baseline"/>
                <w:lang w:eastAsia="zh-CN"/>
              </w:rPr>
              <w:t>舞蹈编导</w:t>
            </w:r>
          </w:p>
        </w:tc>
        <w:tc>
          <w:tcPr>
            <w:tcW w:w="2875" w:type="dxa"/>
            <w:noWrap w:val="0"/>
            <w:vAlign w:val="top"/>
          </w:tcPr>
          <w:p>
            <w:pPr>
              <w:pStyle w:val="4"/>
              <w:widowControl/>
              <w:spacing w:line="240" w:lineRule="auto"/>
              <w:jc w:val="both"/>
              <w:rPr>
                <w:rFonts w:hint="eastAsia" w:eastAsia="宋体"/>
                <w:b w:val="0"/>
                <w:bCs w:val="0"/>
                <w:color w:val="auto"/>
                <w:sz w:val="18"/>
                <w:szCs w:val="18"/>
                <w:lang w:eastAsia="zh-CN"/>
              </w:rPr>
            </w:pPr>
            <w:r>
              <w:rPr>
                <w:rFonts w:hint="eastAsia"/>
                <w:b/>
                <w:bCs/>
                <w:color w:val="auto"/>
                <w:sz w:val="18"/>
                <w:szCs w:val="18"/>
              </w:rPr>
              <w:t>表演考试</w:t>
            </w:r>
            <w:r>
              <w:rPr>
                <w:rFonts w:hint="eastAsia"/>
                <w:b w:val="0"/>
                <w:bCs w:val="0"/>
                <w:color w:val="auto"/>
                <w:sz w:val="18"/>
                <w:szCs w:val="18"/>
              </w:rPr>
              <w:t>：</w:t>
            </w:r>
          </w:p>
          <w:p>
            <w:pPr>
              <w:pStyle w:val="4"/>
              <w:widowControl/>
              <w:spacing w:line="240" w:lineRule="auto"/>
              <w:jc w:val="both"/>
              <w:rPr>
                <w:rFonts w:hint="eastAsia"/>
                <w:b w:val="0"/>
                <w:bCs w:val="0"/>
                <w:color w:val="auto"/>
                <w:sz w:val="18"/>
                <w:szCs w:val="18"/>
                <w:lang w:eastAsia="zh-CN"/>
              </w:rPr>
            </w:pPr>
            <w:r>
              <w:rPr>
                <w:rFonts w:hint="eastAsia"/>
                <w:b w:val="0"/>
                <w:bCs w:val="0"/>
                <w:color w:val="auto"/>
                <w:sz w:val="18"/>
                <w:szCs w:val="18"/>
                <w:lang w:val="en-US" w:eastAsia="zh-CN"/>
              </w:rPr>
              <w:t>1.</w:t>
            </w:r>
            <w:r>
              <w:rPr>
                <w:rFonts w:hint="eastAsia"/>
                <w:b w:val="0"/>
                <w:bCs w:val="0"/>
                <w:color w:val="auto"/>
                <w:sz w:val="18"/>
                <w:szCs w:val="18"/>
              </w:rPr>
              <w:t>命题即兴编舞</w:t>
            </w:r>
          </w:p>
          <w:p>
            <w:pPr>
              <w:pStyle w:val="4"/>
              <w:widowControl/>
              <w:spacing w:line="240" w:lineRule="auto"/>
              <w:jc w:val="both"/>
              <w:rPr>
                <w:rFonts w:hint="eastAsia"/>
                <w:b w:val="0"/>
                <w:bCs w:val="0"/>
                <w:color w:val="auto"/>
                <w:sz w:val="18"/>
                <w:szCs w:val="18"/>
                <w:lang w:val="en-US" w:eastAsia="zh-CN"/>
              </w:rPr>
            </w:pPr>
            <w:r>
              <w:rPr>
                <w:rFonts w:hint="eastAsia"/>
                <w:b w:val="0"/>
                <w:bCs w:val="0"/>
                <w:color w:val="auto"/>
                <w:sz w:val="18"/>
                <w:szCs w:val="18"/>
                <w:lang w:val="en-US" w:eastAsia="zh-CN"/>
              </w:rPr>
              <w:t>2.</w:t>
            </w:r>
            <w:r>
              <w:rPr>
                <w:rFonts w:hint="eastAsia"/>
                <w:b w:val="0"/>
                <w:bCs w:val="0"/>
                <w:color w:val="auto"/>
                <w:sz w:val="18"/>
                <w:szCs w:val="18"/>
              </w:rPr>
              <w:t>舞蹈技术技巧</w:t>
            </w:r>
          </w:p>
          <w:p>
            <w:pPr>
              <w:pStyle w:val="4"/>
              <w:widowControl/>
              <w:spacing w:line="240" w:lineRule="auto"/>
              <w:jc w:val="both"/>
              <w:rPr>
                <w:rFonts w:hint="eastAsia" w:ascii="宋体" w:hAnsi="宋体" w:cs="宋体"/>
                <w:color w:val="000000"/>
                <w:sz w:val="18"/>
                <w:szCs w:val="18"/>
                <w:vertAlign w:val="baseline"/>
                <w:lang w:eastAsia="zh-CN"/>
              </w:rPr>
            </w:pPr>
            <w:r>
              <w:rPr>
                <w:rFonts w:hint="eastAsia"/>
                <w:b w:val="0"/>
                <w:bCs w:val="0"/>
                <w:color w:val="auto"/>
                <w:sz w:val="18"/>
                <w:szCs w:val="18"/>
                <w:lang w:val="en-US" w:eastAsia="zh-CN"/>
              </w:rPr>
              <w:t>3.</w:t>
            </w:r>
            <w:r>
              <w:rPr>
                <w:rFonts w:hint="eastAsia"/>
                <w:b w:val="0"/>
                <w:bCs w:val="0"/>
                <w:color w:val="auto"/>
                <w:sz w:val="18"/>
                <w:szCs w:val="18"/>
              </w:rPr>
              <w:t>作品表演</w:t>
            </w:r>
          </w:p>
        </w:tc>
        <w:tc>
          <w:tcPr>
            <w:tcW w:w="3137" w:type="dxa"/>
            <w:noWrap w:val="0"/>
            <w:vAlign w:val="top"/>
          </w:tcPr>
          <w:p>
            <w:pPr>
              <w:keepNext w:val="0"/>
              <w:keepLines w:val="0"/>
              <w:pageBreakBefore w:val="0"/>
              <w:widowControl w:val="0"/>
              <w:kinsoku/>
              <w:wordWrap/>
              <w:overflowPunct/>
              <w:topLinePunct w:val="0"/>
              <w:autoSpaceDE/>
              <w:autoSpaceDN/>
              <w:bidi w:val="0"/>
              <w:spacing w:line="240" w:lineRule="auto"/>
              <w:jc w:val="both"/>
              <w:textAlignment w:val="auto"/>
              <w:outlineLvl w:val="9"/>
              <w:rPr>
                <w:rFonts w:hint="eastAsia" w:ascii="宋体" w:hAnsi="宋体" w:cs="宋体"/>
                <w:b w:val="0"/>
                <w:bCs w:val="0"/>
                <w:color w:val="auto"/>
                <w:sz w:val="18"/>
                <w:szCs w:val="18"/>
                <w:u w:val="none"/>
                <w:lang w:val="en-US" w:eastAsia="zh-CN"/>
              </w:rPr>
            </w:pPr>
            <w:r>
              <w:rPr>
                <w:rFonts w:hint="eastAsia" w:ascii="宋体" w:hAnsi="宋体" w:eastAsia="宋体" w:cs="宋体"/>
                <w:b w:val="0"/>
                <w:bCs w:val="0"/>
                <w:color w:val="auto"/>
                <w:sz w:val="18"/>
                <w:szCs w:val="18"/>
                <w:u w:val="none"/>
                <w:lang w:val="en-US" w:eastAsia="zh-CN"/>
              </w:rPr>
              <w:t>1.专业理论知识测试</w:t>
            </w:r>
            <w:r>
              <w:rPr>
                <w:rFonts w:hint="eastAsia" w:ascii="宋体" w:hAnsi="宋体" w:cs="宋体"/>
                <w:b w:val="0"/>
                <w:bCs w:val="0"/>
                <w:color w:val="auto"/>
                <w:sz w:val="18"/>
                <w:szCs w:val="18"/>
                <w:u w:val="none"/>
                <w:lang w:val="en-US" w:eastAsia="zh-CN"/>
              </w:rPr>
              <w:t>（</w:t>
            </w:r>
            <w:r>
              <w:rPr>
                <w:rFonts w:hint="eastAsia" w:ascii="宋体" w:hAnsi="宋体" w:eastAsia="宋体" w:cs="宋体"/>
                <w:color w:val="000000"/>
                <w:sz w:val="18"/>
                <w:szCs w:val="18"/>
              </w:rPr>
              <w:t>试题事先命制、装袋，考生现场抽题回答</w:t>
            </w:r>
            <w:r>
              <w:rPr>
                <w:rFonts w:hint="eastAsia" w:ascii="宋体" w:hAnsi="宋体" w:cs="宋体"/>
                <w:b w:val="0"/>
                <w:bCs w:val="0"/>
                <w:color w:val="auto"/>
                <w:sz w:val="18"/>
                <w:szCs w:val="18"/>
                <w:u w:val="none"/>
                <w:lang w:val="en-US" w:eastAsia="zh-CN"/>
              </w:rPr>
              <w:t>）；</w:t>
            </w:r>
          </w:p>
          <w:p>
            <w:pPr>
              <w:keepNext w:val="0"/>
              <w:keepLines w:val="0"/>
              <w:pageBreakBefore w:val="0"/>
              <w:widowControl w:val="0"/>
              <w:kinsoku/>
              <w:wordWrap/>
              <w:overflowPunct/>
              <w:topLinePunct w:val="0"/>
              <w:autoSpaceDE/>
              <w:autoSpaceDN/>
              <w:bidi w:val="0"/>
              <w:spacing w:line="240" w:lineRule="auto"/>
              <w:jc w:val="both"/>
              <w:textAlignment w:val="auto"/>
              <w:outlineLvl w:val="9"/>
              <w:rPr>
                <w:rFonts w:hint="eastAsia" w:ascii="宋体" w:hAnsi="宋体" w:eastAsia="宋体" w:cs="宋体"/>
                <w:color w:val="auto"/>
                <w:sz w:val="18"/>
                <w:szCs w:val="18"/>
                <w:vertAlign w:val="baseline"/>
                <w:lang w:eastAsia="zh-CN"/>
              </w:rPr>
            </w:pPr>
            <w:r>
              <w:rPr>
                <w:rFonts w:hint="eastAsia" w:ascii="宋体" w:hAnsi="宋体" w:cs="宋体"/>
                <w:b w:val="0"/>
                <w:bCs w:val="0"/>
                <w:color w:val="auto"/>
                <w:sz w:val="18"/>
                <w:szCs w:val="18"/>
                <w:u w:val="none"/>
                <w:lang w:val="en-US" w:eastAsia="zh-CN"/>
              </w:rPr>
              <w:t>2.</w:t>
            </w:r>
            <w:r>
              <w:rPr>
                <w:rFonts w:hint="eastAsia" w:ascii="宋体" w:hAnsi="宋体" w:eastAsia="宋体" w:cs="宋体"/>
                <w:b w:val="0"/>
                <w:bCs w:val="0"/>
                <w:color w:val="auto"/>
                <w:sz w:val="18"/>
                <w:szCs w:val="18"/>
                <w:u w:val="none"/>
                <w:lang w:val="en-US" w:eastAsia="zh-CN"/>
              </w:rPr>
              <w:t>个人艺术实践成果汇报。</w:t>
            </w:r>
          </w:p>
        </w:tc>
        <w:tc>
          <w:tcPr>
            <w:tcW w:w="540" w:type="dxa"/>
            <w:noWrap w:val="0"/>
            <w:vAlign w:val="center"/>
          </w:tcPr>
          <w:p>
            <w:pPr>
              <w:pStyle w:val="4"/>
              <w:widowControl/>
              <w:spacing w:line="240" w:lineRule="auto"/>
              <w:jc w:val="center"/>
              <w:rPr>
                <w:rFonts w:hint="eastAsia" w:ascii="宋体" w:hAnsi="宋体"/>
                <w:sz w:val="18"/>
                <w:szCs w:val="18"/>
                <w:lang w:val="en-US" w:eastAsia="zh-CN"/>
              </w:rPr>
            </w:pPr>
            <w:r>
              <w:rPr>
                <w:rFonts w:hint="eastAsia" w:ascii="宋体" w:hAnsi="宋体"/>
                <w:sz w:val="18"/>
                <w:szCs w:val="18"/>
                <w:lang w:val="en-US" w:eastAsia="zh-CN"/>
              </w:rPr>
              <w:t>音乐自备</w:t>
            </w:r>
          </w:p>
        </w:tc>
      </w:tr>
    </w:tbl>
    <w:p>
      <w:pPr>
        <w:pStyle w:val="4"/>
        <w:keepNext w:val="0"/>
        <w:keepLines w:val="0"/>
        <w:widowControl/>
        <w:suppressLineNumbers w:val="0"/>
        <w:spacing w:before="150" w:beforeAutospacing="0" w:after="0" w:afterAutospacing="0" w:line="540" w:lineRule="atLeast"/>
        <w:ind w:right="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（一）专业课</w:t>
      </w:r>
      <w:r>
        <w:rPr>
          <w:rFonts w:hint="eastAsia" w:ascii="仿宋" w:hAnsi="仿宋" w:eastAsia="仿宋" w:cs="仿宋"/>
          <w:color w:val="000000"/>
          <w:sz w:val="28"/>
          <w:szCs w:val="28"/>
          <w:lang w:eastAsia="zh-CN"/>
        </w:rPr>
        <w:t>主科考试</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lang w:val="en-US" w:eastAsia="zh-CN"/>
        </w:rPr>
        <w:t>1.音乐理论类和音乐创作类的</w:t>
      </w:r>
      <w:r>
        <w:rPr>
          <w:rFonts w:hint="eastAsia" w:ascii="仿宋" w:hAnsi="仿宋" w:eastAsia="仿宋" w:cs="仿宋"/>
          <w:color w:val="000000"/>
          <w:sz w:val="28"/>
          <w:szCs w:val="28"/>
        </w:rPr>
        <w:t xml:space="preserve">笔试命题、阅卷等工作由各院（中心）按《宁夏大学研究生入学考试命题、试卷管理办法》执行，试题（含试卷、答案和评分标准）由各院（中心）妥善保管，复试试题及答案在启封前属国家机密材料。笔试满分为100分，时间2小时。 </w:t>
      </w:r>
    </w:p>
    <w:p>
      <w:pPr>
        <w:pStyle w:val="4"/>
        <w:widowControl/>
        <w:ind w:firstLine="560" w:firstLineChars="200"/>
        <w:rPr>
          <w:rFonts w:hint="eastAsia" w:ascii="仿宋" w:hAnsi="仿宋" w:eastAsia="仿宋" w:cs="仿宋"/>
          <w:color w:val="000000"/>
          <w:sz w:val="28"/>
          <w:szCs w:val="28"/>
          <w:lang w:val="en-US" w:eastAsia="zh-CN"/>
        </w:rPr>
      </w:pPr>
      <w:r>
        <w:rPr>
          <w:rFonts w:hint="eastAsia" w:ascii="仿宋" w:hAnsi="仿宋" w:eastAsia="仿宋" w:cs="仿宋"/>
          <w:color w:val="000000"/>
          <w:sz w:val="28"/>
          <w:szCs w:val="28"/>
          <w:lang w:val="en-US" w:eastAsia="zh-CN"/>
        </w:rPr>
        <w:t>2.音乐表演类和舞蹈创作类的表演考试</w:t>
      </w:r>
      <w:r>
        <w:rPr>
          <w:rFonts w:hint="eastAsia" w:ascii="仿宋" w:hAnsi="仿宋" w:eastAsia="仿宋" w:cs="仿宋"/>
          <w:color w:val="000000"/>
          <w:sz w:val="28"/>
          <w:szCs w:val="28"/>
        </w:rPr>
        <w:t>满分为100分</w:t>
      </w:r>
      <w:r>
        <w:rPr>
          <w:rFonts w:hint="eastAsia" w:ascii="仿宋" w:hAnsi="仿宋" w:eastAsia="仿宋" w:cs="仿宋"/>
          <w:color w:val="000000"/>
          <w:sz w:val="28"/>
          <w:szCs w:val="28"/>
          <w:lang w:eastAsia="zh-CN"/>
        </w:rPr>
        <w:t>。</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（二）专业课面试。面试</w:t>
      </w:r>
      <w:r>
        <w:rPr>
          <w:rFonts w:hint="eastAsia" w:ascii="仿宋" w:hAnsi="仿宋" w:eastAsia="仿宋" w:cs="仿宋"/>
          <w:color w:val="000000"/>
          <w:sz w:val="28"/>
          <w:szCs w:val="28"/>
          <w:lang w:eastAsia="zh-CN"/>
        </w:rPr>
        <w:t>是</w:t>
      </w:r>
      <w:r>
        <w:rPr>
          <w:rFonts w:hint="eastAsia" w:ascii="仿宋" w:hAnsi="仿宋" w:eastAsia="仿宋" w:cs="仿宋"/>
          <w:color w:val="000000"/>
          <w:sz w:val="28"/>
          <w:szCs w:val="28"/>
        </w:rPr>
        <w:t>以口试为主</w:t>
      </w:r>
      <w:r>
        <w:rPr>
          <w:rFonts w:hint="eastAsia" w:ascii="仿宋" w:hAnsi="仿宋" w:eastAsia="仿宋" w:cs="仿宋"/>
          <w:color w:val="000000"/>
          <w:sz w:val="28"/>
          <w:szCs w:val="28"/>
          <w:lang w:eastAsia="zh-CN"/>
        </w:rPr>
        <w:t>的</w:t>
      </w:r>
      <w:r>
        <w:rPr>
          <w:rFonts w:hint="eastAsia" w:ascii="仿宋" w:hAnsi="仿宋" w:eastAsia="仿宋" w:cs="仿宋"/>
          <w:color w:val="000000"/>
          <w:sz w:val="28"/>
          <w:szCs w:val="28"/>
        </w:rPr>
        <w:t>综合素质面试。口试采用试题事先命制、装袋，考生现场抽题回答的形式进行。各学院复试小组组织专业课和综合素质面试，面试情况须有详细记录。</w:t>
      </w:r>
    </w:p>
    <w:p>
      <w:pPr>
        <w:pStyle w:val="4"/>
        <w:widowControl/>
        <w:spacing w:line="56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（三）英语听力与口语水平测试。考生（非英语专业）的听力与口语能力水平测试由</w:t>
      </w:r>
      <w:r>
        <w:rPr>
          <w:rFonts w:hint="eastAsia" w:ascii="仿宋" w:hAnsi="仿宋" w:eastAsia="仿宋" w:cs="仿宋"/>
          <w:color w:val="000000"/>
          <w:sz w:val="28"/>
          <w:szCs w:val="28"/>
          <w:lang w:eastAsia="zh-CN"/>
        </w:rPr>
        <w:t>学院</w:t>
      </w:r>
      <w:r>
        <w:rPr>
          <w:rFonts w:hint="eastAsia" w:ascii="仿宋" w:hAnsi="仿宋" w:eastAsia="仿宋" w:cs="仿宋"/>
          <w:color w:val="000000"/>
          <w:sz w:val="28"/>
          <w:szCs w:val="28"/>
        </w:rPr>
        <w:t>组织安排，并制订相应测试办法和明确的评分标准，每个面试小组须配备2名或2名以上主考教师。主考教师须由精通外语的教师担任。面试试题须事先命制若干套。现场测试时须及时更换试题。考生以抽签方式确定面试题目。每名考生面试时间10分钟左右。对于听力、口语成绩偏低的考生，学校将根据情况，慎重录取。</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四</w:t>
      </w:r>
      <w:r>
        <w:rPr>
          <w:rFonts w:hint="eastAsia" w:ascii="仿宋" w:hAnsi="仿宋" w:eastAsia="仿宋" w:cs="仿宋"/>
          <w:color w:val="000000"/>
          <w:sz w:val="28"/>
          <w:szCs w:val="28"/>
        </w:rPr>
        <w:t>）复试总分为100分，其中专业课</w:t>
      </w:r>
      <w:r>
        <w:rPr>
          <w:rFonts w:hint="eastAsia" w:ascii="仿宋" w:hAnsi="仿宋" w:eastAsia="仿宋" w:cs="仿宋"/>
          <w:color w:val="000000"/>
          <w:sz w:val="28"/>
          <w:szCs w:val="28"/>
          <w:lang w:eastAsia="zh-CN"/>
        </w:rPr>
        <w:t>主科</w:t>
      </w:r>
      <w:r>
        <w:rPr>
          <w:rFonts w:hint="eastAsia" w:ascii="仿宋" w:hAnsi="仿宋" w:eastAsia="仿宋" w:cs="仿宋"/>
          <w:color w:val="000000"/>
          <w:sz w:val="28"/>
          <w:szCs w:val="28"/>
        </w:rPr>
        <w:t>占45％，专业课面试占35％，英语听力与口语水平测试占20％。专业课笔试时间为2小时，</w:t>
      </w:r>
      <w:r>
        <w:rPr>
          <w:rFonts w:hint="eastAsia" w:ascii="仿宋" w:hAnsi="仿宋" w:eastAsia="仿宋" w:cs="仿宋"/>
          <w:color w:val="000000"/>
          <w:sz w:val="28"/>
          <w:szCs w:val="28"/>
          <w:lang w:eastAsia="zh-CN"/>
        </w:rPr>
        <w:t>表演考试（专业主科）及</w:t>
      </w:r>
      <w:r>
        <w:rPr>
          <w:rFonts w:hint="eastAsia" w:ascii="仿宋" w:hAnsi="仿宋" w:eastAsia="仿宋" w:cs="仿宋"/>
          <w:color w:val="000000"/>
          <w:sz w:val="28"/>
          <w:szCs w:val="28"/>
        </w:rPr>
        <w:t>面试</w:t>
      </w:r>
      <w:r>
        <w:rPr>
          <w:rFonts w:hint="eastAsia" w:ascii="仿宋" w:hAnsi="仿宋" w:eastAsia="仿宋" w:cs="仿宋"/>
          <w:color w:val="000000"/>
          <w:sz w:val="28"/>
          <w:szCs w:val="28"/>
          <w:lang w:eastAsia="zh-CN"/>
        </w:rPr>
        <w:t>（综合素质）</w:t>
      </w:r>
      <w:r>
        <w:rPr>
          <w:rFonts w:hint="eastAsia" w:ascii="仿宋" w:hAnsi="仿宋" w:eastAsia="仿宋" w:cs="仿宋"/>
          <w:color w:val="000000"/>
          <w:sz w:val="28"/>
          <w:szCs w:val="28"/>
        </w:rPr>
        <w:t>时间每个考生</w:t>
      </w:r>
      <w:r>
        <w:rPr>
          <w:rFonts w:hint="eastAsia" w:ascii="仿宋" w:hAnsi="仿宋" w:eastAsia="仿宋" w:cs="仿宋"/>
          <w:color w:val="000000"/>
          <w:sz w:val="28"/>
          <w:szCs w:val="28"/>
          <w:lang w:val="en-US" w:eastAsia="zh-CN"/>
        </w:rPr>
        <w:t>20-</w:t>
      </w:r>
      <w:r>
        <w:rPr>
          <w:rFonts w:hint="eastAsia" w:ascii="仿宋" w:hAnsi="仿宋" w:eastAsia="仿宋" w:cs="仿宋"/>
          <w:color w:val="000000"/>
          <w:sz w:val="28"/>
          <w:szCs w:val="28"/>
        </w:rPr>
        <w:t>2</w:t>
      </w:r>
      <w:r>
        <w:rPr>
          <w:rFonts w:hint="eastAsia" w:ascii="仿宋" w:hAnsi="仿宋" w:eastAsia="仿宋" w:cs="仿宋"/>
          <w:color w:val="000000"/>
          <w:sz w:val="28"/>
          <w:szCs w:val="28"/>
          <w:lang w:val="en-US" w:eastAsia="zh-CN"/>
        </w:rPr>
        <w:t>5</w:t>
      </w:r>
      <w:r>
        <w:rPr>
          <w:rFonts w:hint="eastAsia" w:ascii="仿宋" w:hAnsi="仿宋" w:eastAsia="仿宋" w:cs="仿宋"/>
          <w:color w:val="000000"/>
          <w:sz w:val="28"/>
          <w:szCs w:val="28"/>
        </w:rPr>
        <w:t>分钟，英语听力与口语水平测试每个考生不少于10分钟。</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五</w:t>
      </w:r>
      <w:r>
        <w:rPr>
          <w:rFonts w:hint="eastAsia" w:ascii="仿宋" w:hAnsi="仿宋" w:eastAsia="仿宋" w:cs="仿宋"/>
          <w:color w:val="000000"/>
          <w:sz w:val="28"/>
          <w:szCs w:val="28"/>
        </w:rPr>
        <w:t>）复试成绩报送。</w:t>
      </w:r>
      <w:r>
        <w:rPr>
          <w:rFonts w:hint="eastAsia" w:ascii="仿宋" w:hAnsi="仿宋" w:eastAsia="仿宋" w:cs="仿宋"/>
          <w:color w:val="000000"/>
          <w:sz w:val="28"/>
          <w:szCs w:val="28"/>
          <w:lang w:eastAsia="zh-CN"/>
        </w:rPr>
        <w:t>复试各环节均为百分制</w:t>
      </w:r>
      <w:r>
        <w:rPr>
          <w:rFonts w:hint="eastAsia" w:ascii="仿宋" w:hAnsi="仿宋" w:eastAsia="仿宋" w:cs="仿宋"/>
          <w:color w:val="000000"/>
          <w:sz w:val="28"/>
          <w:szCs w:val="28"/>
        </w:rPr>
        <w:t>，最后报送研究生院的考生的复试总成绩为百分制。复试总成绩由专业课</w:t>
      </w:r>
      <w:r>
        <w:rPr>
          <w:rFonts w:hint="eastAsia" w:ascii="仿宋" w:hAnsi="仿宋" w:eastAsia="仿宋" w:cs="仿宋"/>
          <w:color w:val="000000"/>
          <w:sz w:val="28"/>
          <w:szCs w:val="28"/>
          <w:lang w:eastAsia="zh-CN"/>
        </w:rPr>
        <w:t>主科考试</w:t>
      </w:r>
      <w:r>
        <w:rPr>
          <w:rFonts w:hint="eastAsia" w:ascii="仿宋" w:hAnsi="仿宋" w:eastAsia="仿宋" w:cs="仿宋"/>
          <w:color w:val="000000"/>
          <w:sz w:val="28"/>
          <w:szCs w:val="28"/>
        </w:rPr>
        <w:t>、专业课面试、英语听力与口语水平测试的成绩加权后组成。复试结束后，</w:t>
      </w:r>
      <w:r>
        <w:rPr>
          <w:rFonts w:hint="eastAsia" w:ascii="仿宋" w:hAnsi="仿宋" w:eastAsia="仿宋" w:cs="仿宋"/>
          <w:color w:val="000000"/>
          <w:sz w:val="28"/>
          <w:szCs w:val="28"/>
          <w:lang w:eastAsia="zh-CN"/>
        </w:rPr>
        <w:t>将</w:t>
      </w:r>
      <w:r>
        <w:rPr>
          <w:rFonts w:hint="eastAsia" w:ascii="仿宋" w:hAnsi="仿宋" w:eastAsia="仿宋" w:cs="仿宋"/>
          <w:color w:val="000000"/>
          <w:sz w:val="28"/>
          <w:szCs w:val="28"/>
        </w:rPr>
        <w:t>复试成绩报送研究生院，并将《研究生复试成绩表》提交研招办，成绩表中导师组明确是否录取意见，并说明原因。</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六</w:t>
      </w:r>
      <w:r>
        <w:rPr>
          <w:rFonts w:hint="eastAsia" w:ascii="仿宋" w:hAnsi="仿宋" w:eastAsia="仿宋" w:cs="仿宋"/>
          <w:color w:val="000000"/>
          <w:sz w:val="28"/>
          <w:szCs w:val="28"/>
        </w:rPr>
        <w:t>）录取总成绩。复试总成绩在60分以上者（含60分）其复试总成绩与初试成绩加权求和为最后的录取总成绩，其中初试成绩权重占60％，复试成绩权重占40％。学校依据考生录取总成绩的排序依次择优录取。</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七</w:t>
      </w:r>
      <w:r>
        <w:rPr>
          <w:rFonts w:hint="eastAsia" w:ascii="仿宋" w:hAnsi="仿宋" w:eastAsia="仿宋" w:cs="仿宋"/>
          <w:color w:val="000000"/>
          <w:sz w:val="28"/>
          <w:szCs w:val="28"/>
        </w:rPr>
        <w:t>）同等学力考生复试除参加上述各项内容的复试外还须加试两门所报专业大学本科主干课程，考试形式一律采用笔试，每门考试时间为2小时，满分均为100分，且不得与初试科目相同。加试科目的成绩不计入复试总成绩，但如有1门加试科目低于60分者，不予录取。</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八</w:t>
      </w:r>
      <w:r>
        <w:rPr>
          <w:rFonts w:hint="eastAsia" w:ascii="仿宋" w:hAnsi="仿宋" w:eastAsia="仿宋" w:cs="仿宋"/>
          <w:color w:val="000000"/>
          <w:sz w:val="28"/>
          <w:szCs w:val="28"/>
        </w:rPr>
        <w:t>）面试成绩低于60分、复试总成绩低于60分，视为复试不合格，均不予录取。</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w:t>
      </w:r>
      <w:r>
        <w:rPr>
          <w:rFonts w:hint="eastAsia" w:ascii="仿宋" w:hAnsi="仿宋" w:eastAsia="仿宋" w:cs="仿宋"/>
          <w:color w:val="000000"/>
          <w:sz w:val="28"/>
          <w:szCs w:val="28"/>
          <w:lang w:eastAsia="zh-CN"/>
        </w:rPr>
        <w:t>九</w:t>
      </w:r>
      <w:r>
        <w:rPr>
          <w:rFonts w:hint="eastAsia" w:ascii="仿宋" w:hAnsi="仿宋" w:eastAsia="仿宋" w:cs="仿宋"/>
          <w:color w:val="000000"/>
          <w:sz w:val="28"/>
          <w:szCs w:val="28"/>
        </w:rPr>
        <w:t>）复试期间还将进行体检、政审及思想政治素质和品德等其它情况审查，审查不合格者不予录取。</w:t>
      </w:r>
    </w:p>
    <w:p>
      <w:pPr>
        <w:pStyle w:val="4"/>
        <w:keepNext w:val="0"/>
        <w:keepLines w:val="0"/>
        <w:widowControl/>
        <w:suppressLineNumbers w:val="0"/>
        <w:spacing w:before="150" w:beforeAutospacing="0" w:after="0" w:afterAutospacing="0" w:line="540" w:lineRule="atLeast"/>
        <w:ind w:right="0" w:firstLine="562" w:firstLineChars="200"/>
      </w:pPr>
      <w:r>
        <w:rPr>
          <w:rStyle w:val="8"/>
          <w:rFonts w:hint="default" w:ascii="Verdana" w:hAnsi="Verdana" w:cs="Verdana"/>
          <w:color w:val="000000"/>
          <w:sz w:val="28"/>
          <w:szCs w:val="28"/>
        </w:rPr>
        <w:t>六、复试规范性要求</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（一）</w:t>
      </w:r>
      <w:r>
        <w:rPr>
          <w:rFonts w:hint="eastAsia" w:ascii="仿宋" w:hAnsi="仿宋" w:eastAsia="仿宋" w:cs="仿宋"/>
          <w:color w:val="000000"/>
          <w:sz w:val="28"/>
          <w:szCs w:val="28"/>
          <w:lang w:eastAsia="zh-CN"/>
        </w:rPr>
        <w:t>学院</w:t>
      </w:r>
      <w:r>
        <w:rPr>
          <w:rFonts w:hint="eastAsia" w:ascii="仿宋" w:hAnsi="仿宋" w:eastAsia="仿宋" w:cs="仿宋"/>
          <w:color w:val="000000"/>
          <w:sz w:val="28"/>
          <w:szCs w:val="28"/>
        </w:rPr>
        <w:t>按照《宁夏大学研究生招生复试考务工作规定》安排组织复试工作。</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（二）专业课</w:t>
      </w:r>
      <w:r>
        <w:rPr>
          <w:rFonts w:hint="eastAsia" w:ascii="仿宋" w:hAnsi="仿宋" w:eastAsia="仿宋" w:cs="仿宋"/>
          <w:color w:val="000000"/>
          <w:sz w:val="28"/>
          <w:szCs w:val="28"/>
          <w:lang w:eastAsia="zh-CN"/>
        </w:rPr>
        <w:t>表演考试和</w:t>
      </w:r>
      <w:r>
        <w:rPr>
          <w:rFonts w:hint="eastAsia" w:ascii="仿宋" w:hAnsi="仿宋" w:eastAsia="仿宋" w:cs="仿宋"/>
          <w:color w:val="000000"/>
          <w:sz w:val="28"/>
          <w:szCs w:val="28"/>
        </w:rPr>
        <w:t>综合素质面试、外语听力口语测试规范性要求</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（1）准备备考室；</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（2）提前命题、提前取题，试题数量要充足，避免重复使用；</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（3）复试小组成员应</w:t>
      </w:r>
      <w:r>
        <w:rPr>
          <w:rFonts w:hint="eastAsia" w:ascii="仿宋" w:hAnsi="仿宋" w:eastAsia="仿宋" w:cs="仿宋"/>
          <w:color w:val="000000"/>
          <w:sz w:val="28"/>
          <w:szCs w:val="28"/>
          <w:lang w:eastAsia="zh-CN"/>
        </w:rPr>
        <w:t>包括</w:t>
      </w:r>
      <w:r>
        <w:rPr>
          <w:rFonts w:hint="eastAsia" w:ascii="仿宋" w:hAnsi="仿宋" w:eastAsia="仿宋" w:cs="仿宋"/>
          <w:color w:val="000000"/>
          <w:sz w:val="28"/>
          <w:szCs w:val="28"/>
        </w:rPr>
        <w:t>硕士生导师，每个复试小组人数不少于五人，另外应安排至少一名记录员；</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（4）复试小组成员应按照《宁夏大学硕士研究生复试小组基本规范》坚持原则，公平、公正，认真负责地做好复试工作；</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（5）复试小组商议与复试工作相关事宜时，应回避考生；</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（6）考生人数较多的院系应充分准备，加强复试小组人员投入，避免教师疲劳工作；</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7）面试期间，面试记录表上的面试成绩不得改动。如出现错误需改正，须由面试组长和所有面试组成员对改动成绩予以确认，并在改动的成绩旁签名，同时经由学院主管研究生招生工作的院领导审核、确认并签字。面试结束后，面试记录及面试情况表不得更改；</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（8）复试过程中或结束后，不得给考生任何许诺和暗示；</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（9）复试结束后，学院须将所有参加复试的考生的复试成绩在规定时间内如实录入管理信息系统，录入后须打印成绩单核对，杜绝漏登分、错登分；</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（10）所有复试材料须妥善保管，其中录取考生的材料须保存二至三年直至该生毕业离校；未录取考生的材料须保存一年。</w:t>
      </w:r>
    </w:p>
    <w:p>
      <w:pPr>
        <w:pStyle w:val="4"/>
        <w:keepNext w:val="0"/>
        <w:keepLines w:val="0"/>
        <w:widowControl/>
        <w:suppressLineNumbers w:val="0"/>
        <w:spacing w:before="150" w:beforeAutospacing="0" w:after="0" w:afterAutospacing="0" w:line="540" w:lineRule="atLeast"/>
        <w:ind w:left="0" w:right="0" w:firstLine="562" w:firstLineChars="200"/>
        <w:rPr>
          <w:sz w:val="28"/>
          <w:szCs w:val="28"/>
        </w:rPr>
      </w:pPr>
      <w:r>
        <w:rPr>
          <w:rStyle w:val="8"/>
          <w:rFonts w:hint="default" w:ascii="Verdana" w:hAnsi="Verdana" w:cs="Verdana"/>
          <w:color w:val="000000"/>
          <w:sz w:val="28"/>
          <w:szCs w:val="28"/>
        </w:rPr>
        <w:t>七、复试的监督与复议</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（一）实行责任制度和责任追究制度。</w:t>
      </w:r>
      <w:r>
        <w:rPr>
          <w:rFonts w:hint="eastAsia" w:ascii="仿宋" w:hAnsi="仿宋" w:eastAsia="仿宋" w:cs="仿宋"/>
          <w:color w:val="000000"/>
          <w:sz w:val="28"/>
          <w:szCs w:val="28"/>
          <w:lang w:eastAsia="zh-CN"/>
        </w:rPr>
        <w:t>学院</w:t>
      </w:r>
      <w:r>
        <w:rPr>
          <w:rFonts w:hint="eastAsia" w:ascii="仿宋" w:hAnsi="仿宋" w:eastAsia="仿宋" w:cs="仿宋"/>
          <w:color w:val="000000"/>
          <w:sz w:val="28"/>
          <w:szCs w:val="28"/>
        </w:rPr>
        <w:t>研究生招生复试工作领导小组对复试过程和复试结果全面负责。完善对复试工作过程的监督，严肃处理违纪、违规事件。</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（二）实行监督制度和巡视制度。</w:t>
      </w:r>
      <w:r>
        <w:rPr>
          <w:rFonts w:hint="eastAsia" w:ascii="仿宋" w:hAnsi="仿宋" w:eastAsia="仿宋" w:cs="仿宋"/>
          <w:color w:val="000000"/>
          <w:sz w:val="28"/>
          <w:szCs w:val="28"/>
          <w:lang w:eastAsia="zh-CN"/>
        </w:rPr>
        <w:t>学院</w:t>
      </w:r>
      <w:r>
        <w:rPr>
          <w:rFonts w:hint="eastAsia" w:ascii="仿宋" w:hAnsi="仿宋" w:eastAsia="仿宋" w:cs="仿宋"/>
          <w:color w:val="000000"/>
          <w:sz w:val="28"/>
          <w:szCs w:val="28"/>
        </w:rPr>
        <w:t>成立由党委（总支）书记任组长，纪检委员、教师代表共三人的监督小组，对本单位复试工作实施全程监督；校纪委（监审处）对全校复试工作进行全面监督检查，并协助研究生院、宁夏教育考试院对复试工作开展巡视。由校领导组成巡查组对研究生复试工作进行巡查和指导。</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（三）实行信息公布制度。复试基本分数线、复试工作办法等信息按规定的时间及时公布。</w:t>
      </w:r>
    </w:p>
    <w:p>
      <w:pPr>
        <w:pStyle w:val="4"/>
        <w:keepNext w:val="0"/>
        <w:keepLines w:val="0"/>
        <w:widowControl/>
        <w:suppressLineNumbers w:val="0"/>
        <w:spacing w:before="150" w:beforeAutospacing="0" w:after="0" w:afterAutospacing="0" w:line="540" w:lineRule="atLeast"/>
        <w:ind w:left="0" w:right="0" w:firstLine="560" w:firstLineChars="200"/>
        <w:rPr>
          <w:rFonts w:hint="eastAsia" w:ascii="仿宋" w:hAnsi="仿宋" w:eastAsia="仿宋" w:cs="仿宋"/>
          <w:sz w:val="28"/>
          <w:szCs w:val="28"/>
        </w:rPr>
      </w:pPr>
      <w:r>
        <w:rPr>
          <w:rFonts w:hint="eastAsia" w:ascii="仿宋" w:hAnsi="仿宋" w:eastAsia="仿宋" w:cs="仿宋"/>
          <w:color w:val="000000"/>
          <w:sz w:val="28"/>
          <w:szCs w:val="28"/>
        </w:rPr>
        <w:t>（四）实行复议制度。保证投诉、申诉和监督渠道的畅通。学院受理投诉和申诉</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及时上报校监审处和研究生院招生办公室，并在一周内予以回复。对投诉和申诉问题经调查属实的，由研究生招生工作领导小组责成复试工作小组或复试小组进行复议。涉及招生政策、原则的，由学校研究生招生办公室负责解释；涉及复试成绩等有关问题的，由</w:t>
      </w:r>
      <w:r>
        <w:rPr>
          <w:rFonts w:hint="eastAsia" w:ascii="仿宋" w:hAnsi="仿宋" w:eastAsia="仿宋" w:cs="仿宋"/>
          <w:color w:val="000000"/>
          <w:sz w:val="28"/>
          <w:szCs w:val="28"/>
          <w:lang w:eastAsia="zh-CN"/>
        </w:rPr>
        <w:t>学院</w:t>
      </w:r>
      <w:r>
        <w:rPr>
          <w:rFonts w:hint="eastAsia" w:ascii="仿宋" w:hAnsi="仿宋" w:eastAsia="仿宋" w:cs="仿宋"/>
          <w:color w:val="000000"/>
          <w:sz w:val="28"/>
          <w:szCs w:val="28"/>
        </w:rPr>
        <w:t>负责解释。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0" w:afterAutospacing="0" w:line="540" w:lineRule="atLeast"/>
        <w:ind w:left="0" w:right="0" w:firstLine="560" w:firstLineChars="200"/>
        <w:rPr>
          <w:rFonts w:ascii="仿宋" w:hAnsi="仿宋" w:eastAsia="仿宋" w:cs="仿宋"/>
          <w:sz w:val="28"/>
          <w:szCs w:val="28"/>
        </w:rPr>
      </w:pPr>
      <w:r>
        <w:rPr>
          <w:rFonts w:hint="eastAsia" w:ascii="仿宋" w:hAnsi="仿宋" w:eastAsia="仿宋" w:cs="仿宋"/>
          <w:color w:val="000000"/>
          <w:sz w:val="28"/>
          <w:szCs w:val="28"/>
        </w:rPr>
        <w:t>（五）增强复试录取工作透明度，坚决抵制不正之风。校监审处、研究生院将监督、抽检和配合各院（中心）的工作，确保学校硕士研究生复试工作的顺利进行</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同时，</w:t>
      </w:r>
      <w:r>
        <w:rPr>
          <w:rFonts w:hint="eastAsia" w:ascii="仿宋" w:hAnsi="仿宋" w:eastAsia="仿宋" w:cs="仿宋"/>
          <w:color w:val="000000"/>
          <w:sz w:val="28"/>
          <w:szCs w:val="28"/>
          <w:lang w:eastAsia="zh-CN"/>
        </w:rPr>
        <w:t>学院</w:t>
      </w:r>
      <w:r>
        <w:rPr>
          <w:rFonts w:hint="eastAsia" w:ascii="仿宋" w:hAnsi="仿宋" w:eastAsia="仿宋" w:cs="仿宋"/>
          <w:color w:val="000000"/>
          <w:sz w:val="28"/>
          <w:szCs w:val="28"/>
        </w:rPr>
        <w:t>为考生设立投诉电</w:t>
      </w:r>
      <w:r>
        <w:rPr>
          <w:rFonts w:hint="eastAsia" w:ascii="仿宋" w:hAnsi="仿宋" w:eastAsia="仿宋" w:cs="仿宋"/>
          <w:color w:val="000000"/>
          <w:sz w:val="28"/>
          <w:szCs w:val="28"/>
          <w:lang w:eastAsia="zh-CN"/>
        </w:rPr>
        <w:t>话，监督组：</w:t>
      </w:r>
      <w:r>
        <w:rPr>
          <w:rFonts w:hint="eastAsia" w:ascii="仿宋" w:hAnsi="仿宋" w:eastAsia="仿宋" w:cs="仿宋"/>
          <w:color w:val="000000"/>
          <w:sz w:val="28"/>
          <w:szCs w:val="28"/>
        </w:rPr>
        <w:t>0951-</w:t>
      </w:r>
      <w:r>
        <w:rPr>
          <w:rFonts w:hint="eastAsia" w:ascii="仿宋" w:hAnsi="仿宋" w:eastAsia="仿宋" w:cs="仿宋"/>
          <w:color w:val="000000"/>
          <w:sz w:val="28"/>
          <w:szCs w:val="28"/>
          <w:lang w:val="en-US" w:eastAsia="zh-CN"/>
        </w:rPr>
        <w:t>2061986</w:t>
      </w:r>
      <w:r>
        <w:rPr>
          <w:rFonts w:hint="eastAsia" w:ascii="仿宋" w:hAnsi="仿宋" w:eastAsia="仿宋" w:cs="仿宋"/>
          <w:color w:val="000000"/>
          <w:sz w:val="28"/>
          <w:szCs w:val="28"/>
        </w:rPr>
        <w:t>，邮箱</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lang w:val="en-US" w:eastAsia="zh-CN"/>
        </w:rPr>
        <w:t>302690289</w:t>
      </w:r>
      <w:r>
        <w:rPr>
          <w:rFonts w:hint="eastAsia" w:ascii="仿宋" w:hAnsi="仿宋" w:eastAsia="仿宋" w:cs="仿宋"/>
          <w:color w:val="000000"/>
          <w:sz w:val="28"/>
          <w:szCs w:val="28"/>
        </w:rPr>
        <w:t>@</w:t>
      </w:r>
      <w:r>
        <w:rPr>
          <w:rFonts w:hint="eastAsia" w:ascii="仿宋" w:hAnsi="仿宋" w:eastAsia="仿宋" w:cs="仿宋"/>
          <w:color w:val="000000"/>
          <w:sz w:val="28"/>
          <w:szCs w:val="28"/>
          <w:lang w:val="en-US" w:eastAsia="zh-CN"/>
        </w:rPr>
        <w:t>qq.com。</w:t>
      </w:r>
    </w:p>
    <w:p>
      <w:pPr>
        <w:pStyle w:val="9"/>
        <w:spacing w:line="560" w:lineRule="exact"/>
        <w:rPr>
          <w:rFonts w:ascii="仿宋" w:hAnsi="仿宋" w:eastAsia="仿宋" w:cs="仿宋"/>
          <w:sz w:val="28"/>
          <w:szCs w:val="28"/>
        </w:rPr>
      </w:pPr>
      <w:r>
        <w:rPr>
          <w:rFonts w:hint="eastAsia" w:ascii="仿宋" w:hAnsi="仿宋" w:eastAsia="仿宋" w:cs="仿宋"/>
          <w:sz w:val="28"/>
          <w:szCs w:val="28"/>
        </w:rPr>
        <w:t>窗体底端</w:t>
      </w:r>
    </w:p>
    <w:p>
      <w:pPr>
        <w:widowControl/>
        <w:shd w:val="clear" w:color="auto" w:fill="FFFFFF"/>
        <w:spacing w:line="360" w:lineRule="auto"/>
        <w:jc w:val="left"/>
        <w:rPr>
          <w:rFonts w:hint="eastAsia" w:ascii="宋体" w:hAnsi="宋体"/>
          <w:bCs/>
          <w:sz w:val="28"/>
          <w:szCs w:val="28"/>
        </w:rPr>
      </w:pPr>
    </w:p>
    <w:p>
      <w:pPr>
        <w:snapToGrid w:val="0"/>
        <w:spacing w:line="360" w:lineRule="auto"/>
        <w:rPr>
          <w:rFonts w:hint="eastAsia"/>
          <w:sz w:val="30"/>
        </w:rPr>
      </w:pPr>
    </w:p>
    <w:p>
      <w:pPr>
        <w:snapToGrid w:val="0"/>
        <w:spacing w:line="360" w:lineRule="auto"/>
        <w:rPr>
          <w:rFonts w:hint="eastAsia"/>
          <w:sz w:val="30"/>
        </w:rPr>
      </w:pPr>
    </w:p>
    <w:p>
      <w:pPr>
        <w:snapToGrid w:val="0"/>
        <w:spacing w:line="360" w:lineRule="auto"/>
        <w:rPr>
          <w:rFonts w:hint="eastAsia"/>
          <w:sz w:val="30"/>
        </w:rPr>
      </w:pPr>
    </w:p>
    <w:p>
      <w:pPr>
        <w:spacing w:line="360" w:lineRule="auto"/>
        <w:jc w:val="right"/>
        <w:rPr>
          <w:rFonts w:hint="eastAsia" w:ascii="宋体" w:hAnsi="宋体"/>
          <w:b w:val="0"/>
          <w:bCs w:val="0"/>
          <w:sz w:val="28"/>
          <w:szCs w:val="28"/>
        </w:rPr>
      </w:pPr>
      <w:r>
        <w:rPr>
          <w:rFonts w:hint="eastAsia"/>
          <w:sz w:val="30"/>
        </w:rPr>
        <w:t xml:space="preserve">                                        </w:t>
      </w:r>
      <w:r>
        <w:rPr>
          <w:rFonts w:hint="eastAsia" w:ascii="宋体" w:hAnsi="宋体"/>
          <w:b w:val="0"/>
          <w:bCs w:val="0"/>
          <w:sz w:val="28"/>
          <w:szCs w:val="28"/>
        </w:rPr>
        <w:t>宁夏大学音乐学院</w:t>
      </w:r>
    </w:p>
    <w:p>
      <w:pPr>
        <w:jc w:val="right"/>
        <w:rPr>
          <w:b w:val="0"/>
          <w:bCs w:val="0"/>
          <w:sz w:val="28"/>
          <w:szCs w:val="28"/>
        </w:rPr>
      </w:pPr>
      <w:r>
        <w:rPr>
          <w:rFonts w:hint="eastAsia" w:ascii="宋体" w:hAnsi="宋体"/>
          <w:b w:val="0"/>
          <w:bCs w:val="0"/>
          <w:sz w:val="28"/>
          <w:szCs w:val="28"/>
        </w:rPr>
        <w:t>201</w:t>
      </w:r>
      <w:r>
        <w:rPr>
          <w:rFonts w:hint="eastAsia" w:ascii="宋体" w:hAnsi="宋体"/>
          <w:b w:val="0"/>
          <w:bCs w:val="0"/>
          <w:sz w:val="28"/>
          <w:szCs w:val="28"/>
          <w:lang w:val="en-US" w:eastAsia="zh-CN"/>
        </w:rPr>
        <w:t>9</w:t>
      </w:r>
      <w:r>
        <w:rPr>
          <w:rFonts w:hint="eastAsia" w:ascii="宋体" w:hAnsi="宋体"/>
          <w:b w:val="0"/>
          <w:bCs w:val="0"/>
          <w:sz w:val="28"/>
          <w:szCs w:val="28"/>
        </w:rPr>
        <w:t>年3月2</w:t>
      </w:r>
      <w:r>
        <w:rPr>
          <w:rFonts w:hint="eastAsia" w:ascii="宋体" w:hAnsi="宋体"/>
          <w:b w:val="0"/>
          <w:bCs w:val="0"/>
          <w:sz w:val="28"/>
          <w:szCs w:val="28"/>
          <w:lang w:val="en-US" w:eastAsia="zh-CN"/>
        </w:rPr>
        <w:t>2</w:t>
      </w:r>
      <w:r>
        <w:rPr>
          <w:rFonts w:hint="eastAsia" w:ascii="宋体" w:hAnsi="宋体"/>
          <w:b w:val="0"/>
          <w:bCs w:val="0"/>
          <w:sz w:val="28"/>
          <w:szCs w:val="28"/>
        </w:rPr>
        <w:t>日</w:t>
      </w:r>
    </w:p>
    <w:p>
      <w:pPr>
        <w:snapToGrid w:val="0"/>
        <w:spacing w:line="360" w:lineRule="auto"/>
        <w:rPr>
          <w:rFonts w:hint="eastAsia"/>
          <w:sz w:val="30"/>
        </w:rPr>
      </w:pPr>
    </w:p>
    <w:p>
      <w:pPr>
        <w:snapToGrid w:val="0"/>
        <w:spacing w:line="360" w:lineRule="auto"/>
        <w:rPr>
          <w:rFonts w:hint="eastAsia"/>
          <w:sz w:val="30"/>
        </w:rPr>
      </w:pPr>
    </w:p>
    <w:p>
      <w:pPr>
        <w:snapToGrid w:val="0"/>
        <w:spacing w:line="360" w:lineRule="auto"/>
        <w:rPr>
          <w:rFonts w:hint="eastAsia"/>
          <w:sz w:val="30"/>
        </w:rPr>
      </w:pPr>
    </w:p>
    <w:p>
      <w:pPr>
        <w:snapToGrid w:val="0"/>
        <w:spacing w:line="360" w:lineRule="auto"/>
        <w:rPr>
          <w:rFonts w:hint="eastAsia"/>
          <w:sz w:val="30"/>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xZ+TlrgEAAEsD&#10;AAAOAAAAAAAAAAEAIAAAAB4BAABkcnMvZTJvRG9jLnhtbFBLBQYAAAAABgAGAFkBAAA+BQAAAAA=&#1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1A232C"/>
    <w:rsid w:val="5F1A2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0"/>
    <w:pPr>
      <w:jc w:val="left"/>
    </w:pPr>
    <w:rPr>
      <w:rFonts w:cs="Times New Roman"/>
      <w:kern w:val="0"/>
      <w:sz w:val="24"/>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8">
    <w:name w:val="Strong"/>
    <w:basedOn w:val="7"/>
    <w:qFormat/>
    <w:uiPriority w:val="0"/>
    <w:rPr>
      <w:b/>
    </w:rPr>
  </w:style>
  <w:style w:type="paragraph" w:customStyle="1" w:styleId="9">
    <w:name w:val="_Style 7"/>
    <w:basedOn w:val="1"/>
    <w:next w:val="1"/>
    <w:qFormat/>
    <w:uiPriority w:val="99"/>
    <w:pPr>
      <w:pBdr>
        <w:top w:val="single" w:color="auto" w:sz="6" w:space="1"/>
      </w:pBdr>
      <w:jc w:val="center"/>
    </w:pPr>
    <w:rPr>
      <w:rFonts w:ascii="Arial"/>
      <w:vanish/>
      <w:sz w:val="16"/>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2019-03-24T00:27:00Z</dcterms:created>
  <dc:creator>Administrator</dc:creator>
  <cp:lastModifiedBy>Administrator</cp:lastModifiedBy>
  <dcterms:modified xsi:type="dcterms:W3CDTF">2019-03-24T00:28:06Z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